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Observational insulin sensitivity sits below entered settings in every cohort tested</w:t>
      </w:r>
    </w:p>
    <w:p>
      <w:pPr>
        <w:pStyle w:val="Subtitle"/>
      </w:pPr>
      <w:r>
        <w:t xml:space="preserve">A replication across 1,679 people in six trials, and what it means for sensitivity derived from device data</w:t>
      </w:r>
    </w:p>
    <w:p>
      <w:pPr>
        <w:pStyle w:val="Author"/>
      </w:pPr>
      <w:r>
        <w:t xml:space="preserve">Tim Street, Diabettech</w:t>
      </w:r>
    </w:p>
    <w:p>
      <w:pPr>
        <w:pStyle w:val="Date"/>
      </w:pPr>
      <w:r>
        <w:t xml:space="preserve">27 August 2026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Sensitivity estimated from what glucose did after insulin was given comes out</w:t>
      </w:r>
      <w:r>
        <w:t xml:space="preserve"> </w:t>
      </w:r>
      <w:r>
        <w:t xml:space="preserve">below the sensitivity people have entered into their pumps. That was established</w:t>
      </w:r>
      <w:r>
        <w:t xml:space="preserve"> </w:t>
      </w:r>
      <w:r>
        <w:t xml:space="preserve">in 2026 on 138 users of open-source closed-loop systems, where the constant</w:t>
      </w:r>
      <w:r>
        <w:t xml:space="preserve"> </w:t>
      </w:r>
      <w:r>
        <w:t xml:space="preserve">anchored to measured sensitivity was 145 against 355 anchored to the profiles</w:t>
      </w:r>
      <w:r>
        <w:t xml:space="preserve"> </w:t>
      </w:r>
      <w:r>
        <w:t xml:space="preserve">people had tuned, a ratio of 0.41. The same work tested whether dosing to the</w:t>
      </w:r>
      <w:r>
        <w:t xml:space="preserve"> </w:t>
      </w:r>
      <w:r>
        <w:t xml:space="preserve">measured value would be safe and found it would not: people dosing well weaker</w:t>
      </w:r>
      <w:r>
        <w:t xml:space="preserve"> </w:t>
      </w:r>
      <w:r>
        <w:t xml:space="preserve">than their measured sensitivity had more hypoglycaemia rather than less, and</w:t>
      </w:r>
      <w:r>
        <w:t xml:space="preserve"> </w:t>
      </w:r>
      <w:r>
        <w:t xml:space="preserve">restricting the estimate to overnight periods left the bias unchanged.</w:t>
      </w:r>
    </w:p>
    <w:p>
      <w:pPr>
        <w:pStyle w:val="BodyText"/>
      </w:pPr>
      <w:r>
        <w:t xml:space="preserve">This paper asks whether that result was a property of those 138 people, of the</w:t>
      </w:r>
      <w:r>
        <w:t xml:space="preserve"> </w:t>
      </w:r>
      <w:r>
        <w:t xml:space="preserve">open-source systems they used, or of the way insulin on board was obtained. It was</w:t>
      </w:r>
      <w:r>
        <w:t xml:space="preserve"> </w:t>
      </w:r>
      <w:r>
        <w:t xml:space="preserve">none of them. Across 1,679 people in six trial cohorts, using four different</w:t>
      </w:r>
      <w:r>
        <w:t xml:space="preserve"> </w:t>
      </w:r>
      <w:r>
        <w:t xml:space="preserve">constructions of the estimator and insulin on board reconstructed from delivery</w:t>
      </w:r>
      <w:r>
        <w:t xml:space="preserve"> </w:t>
      </w:r>
      <w:r>
        <w:t xml:space="preserve">records rather than reported by the loop, the ratio of measured to entered</w:t>
      </w:r>
      <w:r>
        <w:t xml:space="preserve"> </w:t>
      </w:r>
      <w:r>
        <w:t xml:space="preserve">sensitivity runs from 0.30 to 0.92 with a median of 0.58. In fifteen estimates it</w:t>
      </w:r>
      <w:r>
        <w:t xml:space="preserve"> </w:t>
      </w:r>
      <w:r>
        <w:t xml:space="preserve">does not once reach 1.0.</w:t>
      </w:r>
    </w:p>
    <w:bookmarkEnd w:id="9"/>
    <w:bookmarkStart w:id="10" w:name="what-was-already-known"/>
    <w:p>
      <w:pPr>
        <w:pStyle w:val="Heading2"/>
      </w:pPr>
      <w:r>
        <w:t xml:space="preserve">What was already known</w:t>
      </w:r>
    </w:p>
    <w:p>
      <w:pPr>
        <w:pStyle w:val="FirstParagraph"/>
      </w:pPr>
      <w:r>
        <w:t xml:space="preserve">The earlier analysis reached three conclusions relevant here. The shape of the</w:t>
      </w:r>
      <w:r>
        <w:t xml:space="preserve"> </w:t>
      </w:r>
      <w:r>
        <w:t xml:space="preserve">relationship between sensitivity and total daily dose is derivable from data and</w:t>
      </w:r>
      <w:r>
        <w:t xml:space="preserve"> </w:t>
      </w:r>
      <w:r>
        <w:t xml:space="preserve">scales approximately as one over the square root of daily dose. The level is not:</w:t>
      </w:r>
      <w:r>
        <w:t xml:space="preserve"> </w:t>
      </w:r>
      <w:r>
        <w:t xml:space="preserve">a short-window empirical estimate swings by a third between blocks and carries</w:t>
      </w:r>
      <w:r>
        <w:t xml:space="preserve"> </w:t>
      </w:r>
      <w:r>
        <w:t xml:space="preserve">almost no memory from one block to the next. And the level that comes out is</w:t>
      </w:r>
      <w:r>
        <w:t xml:space="preserve"> </w:t>
      </w:r>
      <w:r>
        <w:t xml:space="preserve">biased in a specific direction, low, such that dosing to it produces more</w:t>
      </w:r>
      <w:r>
        <w:t xml:space="preserve"> </w:t>
      </w:r>
      <w:r>
        <w:t xml:space="preserve">hypoglycaemia than dosing to a tuned profile.</w:t>
      </w:r>
    </w:p>
    <w:p>
      <w:pPr>
        <w:pStyle w:val="BodyText"/>
      </w:pPr>
      <w:r>
        <w:t xml:space="preserve">That last point is the one that matters for interpretation. The gap between</w:t>
      </w:r>
      <w:r>
        <w:t xml:space="preserve"> </w:t>
      </w:r>
      <w:r>
        <w:t xml:space="preserve">measured and entered sensitivity is not evidence that entered settings are wrong.</w:t>
      </w:r>
      <w:r>
        <w:t xml:space="preserve"> </w:t>
      </w:r>
      <w:r>
        <w:t xml:space="preserve">It had already been tested against outcomes and the entered settings won.</w:t>
      </w:r>
    </w:p>
    <w:bookmarkEnd w:id="10"/>
    <w:bookmarkStart w:id="11" w:name="what-this-adds"/>
    <w:p>
      <w:pPr>
        <w:pStyle w:val="Heading2"/>
      </w:pPr>
      <w:r>
        <w:t xml:space="preserve">What this adds</w:t>
      </w:r>
    </w:p>
    <w:p>
      <w:pPr>
        <w:pStyle w:val="FirstParagraph"/>
      </w:pPr>
      <w:r>
        <w:t xml:space="preserve">The cohorts are the Jaeb Center public releases: REPLACE-BG, which ran in 2015</w:t>
      </w:r>
      <w:r>
        <w:t xml:space="preserve"> </w:t>
      </w:r>
      <w:r>
        <w:t xml:space="preserve">with no algorithm intervening, the Loop observational study, DCLP3, DCLP5 and</w:t>
      </w:r>
      <w:r>
        <w:t xml:space="preserve"> </w:t>
      </w:r>
      <w:r>
        <w:t xml:space="preserve">PEDAP on Control-IQ across ages 2 to adult, and IOBP2 on a bionic pancreas. Ages</w:t>
      </w:r>
      <w:r>
        <w:t xml:space="preserve"> </w:t>
      </w:r>
      <w:r>
        <w:t xml:space="preserve">run from 2 to 82 and daily doses from 7 to 107 U. Insulin on board is</w:t>
      </w:r>
      <w:r>
        <w:t xml:space="preserve"> </w:t>
      </w:r>
      <w:r>
        <w:t xml:space="preserve">reconstructed from the delivery record and an insulin action curve, which is the</w:t>
      </w:r>
      <w:r>
        <w:t xml:space="preserve"> </w:t>
      </w:r>
      <w:r>
        <w:t xml:space="preserve">weaker provenance: the earlier work had the loop’s own figure.</w:t>
      </w:r>
    </w:p>
    <w:p>
      <w:pPr>
        <w:pStyle w:val="BodyText"/>
      </w:pPr>
      <w:r>
        <w:t xml:space="preserve">Four constructions were used, differing in the decisions that turn out to matter.</w:t>
      </w:r>
      <w:r>
        <w:t xml:space="preserve"> </w:t>
      </w:r>
      <w:r>
        <w:t xml:space="preserve">Whether a correction is counted as a bolus alone or as anything delivered above</w:t>
      </w:r>
      <w:r>
        <w:t xml:space="preserve"> </w:t>
      </w:r>
      <w:r>
        <w:t xml:space="preserve">the programmed basal, which matters because 56% of Loop’s correcting insulin and</w:t>
      </w:r>
      <w:r>
        <w:t xml:space="preserve"> </w:t>
      </w:r>
      <w:r>
        <w:t xml:space="preserve">43% of PEDAP’s arrives as raised temporary basal. Whether the denominator is the</w:t>
      </w:r>
      <w:r>
        <w:t xml:space="preserve"> </w:t>
      </w:r>
      <w:r>
        <w:t xml:space="preserve">units given or the insulin action across the window. And whether episodes are</w:t>
      </w:r>
      <w:r>
        <w:t xml:space="preserve"> </w:t>
      </w:r>
      <w:r>
        <w:t xml:space="preserve">required to open with little insulin already on board.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</w:pPr>
            <w:r>
              <w:t xml:space="preserve">Cohorts</w:t>
            </w:r>
          </w:p>
        </w:tc>
        <w:tc>
          <w:tcPr/>
          <w:p>
            <w:pPr>
              <w:pStyle w:val="Compact"/>
            </w:pPr>
            <w:r>
              <w:t xml:space="preserve">Ratio, measured to entered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oref archive, loop-recorded insulin on board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Bolus corrections, per unit given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0.49 to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route, insulin action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0.48 to 0.66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route, action, low insulin on board at the start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0.30 to 0.65</w:t>
            </w:r>
          </w:p>
        </w:tc>
      </w:tr>
    </w:tbl>
    <w:p>
      <w:pPr>
        <w:pStyle w:val="BodyText"/>
      </w:pPr>
      <w:r>
        <w:t xml:space="preserve">The spread within a construction is as wide as the spread between them, so the</w:t>
      </w:r>
      <w:r>
        <w:t xml:space="preserve"> </w:t>
      </w:r>
      <w:r>
        <w:t xml:space="preserve">choices above move the answer by about a factor of two and the data cannot</w:t>
      </w:r>
      <w:r>
        <w:t xml:space="preserve"> </w:t>
      </w:r>
      <w:r>
        <w:t xml:space="preserve">adjudicate between them. What survives every choice is the sign.</w:t>
      </w:r>
    </w:p>
    <w:bookmarkEnd w:id="11"/>
    <w:bookmarkStart w:id="12" w:name="why-the-magnitude-cannot-be-pinned-here"/>
    <w:p>
      <w:pPr>
        <w:pStyle w:val="Heading2"/>
      </w:pPr>
      <w:r>
        <w:t xml:space="preserve">Why the magnitude cannot be pinned here</w:t>
      </w:r>
    </w:p>
    <w:p>
      <w:pPr>
        <w:pStyle w:val="FirstParagraph"/>
      </w:pPr>
      <w:r>
        <w:t xml:space="preserve">Three mechanisms produce a low estimate and this design separates none of them.</w:t>
      </w:r>
    </w:p>
    <w:p>
      <w:pPr>
        <w:pStyle w:val="BodyText"/>
      </w:pPr>
      <w:r>
        <w:t xml:space="preserve">Glucose falls on its own from a raised level. Overnight and carbohydrate-free,</w:t>
      </w:r>
      <w:r>
        <w:t xml:space="preserve"> </w:t>
      </w:r>
      <w:r>
        <w:t xml:space="preserve">between 150 and 250 mg/dL, it drops a median 21 to 30 mg/dL over four hours with</w:t>
      </w:r>
      <w:r>
        <w:t xml:space="preserve"> </w:t>
      </w:r>
      <w:r>
        <w:t xml:space="preserve">no correction given, so any estimator that removes that fall is measuring</w:t>
      </w:r>
      <w:r>
        <w:t xml:space="preserve"> </w:t>
      </w:r>
      <w:r>
        <w:t xml:space="preserve">something smaller than a settings file encodes, and any estimator that leaves it</w:t>
      </w:r>
      <w:r>
        <w:t xml:space="preserve"> </w:t>
      </w:r>
      <w:r>
        <w:t xml:space="preserve">in is measuring mean reversion.</w:t>
      </w:r>
    </w:p>
    <w:p>
      <w:pPr>
        <w:pStyle w:val="BodyText"/>
      </w:pPr>
      <w:r>
        <w:t xml:space="preserve">Insulin is given when glucose is expected to stay up. Within an identical glucose</w:t>
      </w:r>
      <w:r>
        <w:t xml:space="preserve"> </w:t>
      </w:r>
      <w:r>
        <w:t xml:space="preserve">trace the correlation between insulin committed before a window and insulin</w:t>
      </w:r>
      <w:r>
        <w:t xml:space="preserve"> </w:t>
      </w:r>
      <w:r>
        <w:t xml:space="preserve">delivered during it is 0.054 in the open-loop cohort and 0.447 under a</w:t>
      </w:r>
      <w:r>
        <w:t xml:space="preserve"> </w:t>
      </w:r>
      <w:r>
        <w:t xml:space="preserve">do-it-yourself loop, so a controller keeps responding to something the trace does</w:t>
      </w:r>
      <w:r>
        <w:t xml:space="preserve"> </w:t>
      </w:r>
      <w:r>
        <w:t xml:space="preserve">not carry and its dose stays tied to the outcome.</w:t>
      </w:r>
    </w:p>
    <w:p>
      <w:pPr>
        <w:pStyle w:val="BodyText"/>
      </w:pPr>
      <w:r>
        <w:t xml:space="preserve">And the insulin action curve is assumed rather than observed. Reconstructed</w:t>
      </w:r>
      <w:r>
        <w:t xml:space="preserve"> </w:t>
      </w:r>
      <w:r>
        <w:t xml:space="preserve">insulin on board agrees with the pump’s own record at a median absolute difference</w:t>
      </w:r>
      <w:r>
        <w:t xml:space="preserve"> </w:t>
      </w:r>
      <w:r>
        <w:t xml:space="preserve">of 0.079 U and a correlation of 0.848 across 188 people in REPLACE-BG, which is</w:t>
      </w:r>
      <w:r>
        <w:t xml:space="preserve"> </w:t>
      </w:r>
      <w:r>
        <w:t xml:space="preserve">good but not exact.</w:t>
      </w:r>
    </w:p>
    <w:bookmarkEnd w:id="12"/>
    <w:bookmarkStart w:id="13" w:name="a-limit-on-what-a-simulation-can-settle"/>
    <w:p>
      <w:pPr>
        <w:pStyle w:val="Heading2"/>
      </w:pPr>
      <w:r>
        <w:t xml:space="preserve">A limit on what a simulation can settle</w:t>
      </w:r>
    </w:p>
    <w:p>
      <w:pPr>
        <w:pStyle w:val="FirstParagraph"/>
      </w:pPr>
      <w:r>
        <w:t xml:space="preserve">The obvious way to choose between constructions is to run them against records</w:t>
      </w:r>
      <w:r>
        <w:t xml:space="preserve"> </w:t>
      </w:r>
      <w:r>
        <w:t xml:space="preserve">whose true sensitivity is known. That was done and it does not resolve the</w:t>
      </w:r>
      <w:r>
        <w:t xml:space="preserve"> </w:t>
      </w:r>
      <w:r>
        <w:t xml:space="preserve">question. Simulated open-loop records with unlogged carbohydrate return 51.6</w:t>
      </w:r>
      <w:r>
        <w:t xml:space="preserve"> </w:t>
      </w:r>
      <w:r>
        <w:t xml:space="preserve">against a true 50 for the bolus-and-units-given construction, but only about 22</w:t>
      </w:r>
      <w:r>
        <w:t xml:space="preserve"> </w:t>
      </w:r>
      <w:r>
        <w:t xml:space="preserve">qualifying episodes per person, and the simulated controller cannot be made to</w:t>
      </w:r>
      <w:r>
        <w:t xml:space="preserve"> </w:t>
      </w:r>
      <w:r>
        <w:t xml:space="preserve">correct through temporary basal at a realistic rate: at any gain that leaves</w:t>
      </w:r>
      <w:r>
        <w:t xml:space="preserve"> </w:t>
      </w:r>
      <w:r>
        <w:t xml:space="preserve">glucose in a plausible range it never delivers half a unit above schedule in</w:t>
      </w:r>
      <w:r>
        <w:t xml:space="preserve"> </w:t>
      </w:r>
      <w:r>
        <w:t xml:space="preserve">thirty minutes. So the constructions that matter for the closed-loop cohorts</w:t>
      </w:r>
      <w:r>
        <w:t xml:space="preserve"> </w:t>
      </w:r>
      <w:r>
        <w:t xml:space="preserve">cannot be tested against a known answer at all.</w:t>
      </w:r>
    </w:p>
    <w:p>
      <w:pPr>
        <w:pStyle w:val="BodyText"/>
      </w:pPr>
      <w:r>
        <w:t xml:space="preserve">Reporting that limitation is the point of this section. An estimator validated on</w:t>
      </w:r>
      <w:r>
        <w:t xml:space="preserve"> </w:t>
      </w:r>
      <w:r>
        <w:t xml:space="preserve">the one case that can be simulated should not be presented as validated for the</w:t>
      </w:r>
      <w:r>
        <w:t xml:space="preserve"> </w:t>
      </w:r>
      <w:r>
        <w:t xml:space="preserve">cases that cannot.</w:t>
      </w:r>
    </w:p>
    <w:bookmarkEnd w:id="13"/>
    <w:bookmarkStart w:id="14" w:name="what-follows"/>
    <w:p>
      <w:pPr>
        <w:pStyle w:val="Heading2"/>
      </w:pPr>
      <w:r>
        <w:t xml:space="preserve">What follows</w:t>
      </w:r>
    </w:p>
    <w:p>
      <w:pPr>
        <w:pStyle w:val="FirstParagraph"/>
      </w:pPr>
      <w:r>
        <w:t xml:space="preserve">For anyone setting a pump, nothing changes. The entered constants remain the</w:t>
      </w:r>
      <w:r>
        <w:t xml:space="preserve"> </w:t>
      </w:r>
      <w:r>
        <w:t xml:space="preserve">number to use and the earlier outcome work is the reason.</w:t>
      </w:r>
    </w:p>
    <w:p>
      <w:pPr>
        <w:pStyle w:val="BodyText"/>
      </w:pPr>
      <w:r>
        <w:t xml:space="preserve">For anyone deriving sensitivity from device data, which includes every dynamic</w:t>
      </w:r>
      <w:r>
        <w:t xml:space="preserve"> </w:t>
      </w:r>
      <w:r>
        <w:t xml:space="preserve">sensitivity equation in current use, the finding is that the quantity being</w:t>
      </w:r>
      <w:r>
        <w:t xml:space="preserve"> </w:t>
      </w:r>
      <w:r>
        <w:t xml:space="preserve">derived is not the quantity a settings file encodes, and the difference is not</w:t>
      </w:r>
      <w:r>
        <w:t xml:space="preserve"> </w:t>
      </w:r>
      <w:r>
        <w:t xml:space="preserve">small, not confined to one cohort, one algorithm or one age group, and not removed</w:t>
      </w:r>
      <w:r>
        <w:t xml:space="preserve"> </w:t>
      </w:r>
      <w:r>
        <w:t xml:space="preserve">by restricting to overnight. An equation calibrated against observational</w:t>
      </w:r>
      <w:r>
        <w:t xml:space="preserve"> </w:t>
      </w:r>
      <w:r>
        <w:t xml:space="preserve">sensitivity inherits the bias.</w:t>
      </w:r>
    </w:p>
    <w:p>
      <w:pPr>
        <w:pStyle w:val="BodyText"/>
      </w:pPr>
      <w:r>
        <w:t xml:space="preserve">For anyone reporting such an estimate, the practical recommendation is to publish</w:t>
      </w:r>
      <w:r>
        <w:t xml:space="preserve"> </w:t>
      </w:r>
      <w:r>
        <w:t xml:space="preserve">the ratio against entered settings alongside the estimate itself. Every</w:t>
      </w:r>
      <w:r>
        <w:t xml:space="preserve"> </w:t>
      </w:r>
      <w:r>
        <w:t xml:space="preserve">construction here looks defensible in isolation and they differ by a factor of</w:t>
      </w:r>
      <w:r>
        <w:t xml:space="preserve"> </w:t>
      </w:r>
      <w:r>
        <w:t xml:space="preserve">two, so the ratio is the diagnostic that makes them comparable.</w:t>
      </w:r>
    </w:p>
    <w:bookmarkEnd w:id="14"/>
    <w:bookmarkStart w:id="15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Analysis is local, in Python, against the Jaeb releases loaded into PostgreSQL</w:t>
      </w:r>
      <w:r>
        <w:t xml:space="preserve"> </w:t>
      </w:r>
      <w:r>
        <w:t xml:space="preserve">17.9 with TimescaleDB 2.26.1. The corpus holds 132,467,585 CGM readings,</w:t>
      </w:r>
      <w:r>
        <w:t xml:space="preserve"> </w:t>
      </w:r>
      <w:r>
        <w:t xml:space="preserve">68,995,020 basal records and 5,154,053 bolus records.</w:t>
      </w:r>
    </w:p>
    <w:p>
      <w:pPr>
        <w:pStyle w:val="BodyText"/>
      </w:pPr>
      <w:r>
        <w:t xml:space="preserve">Delivery is taken net of the programmed basal throughout, since basal offsets</w:t>
      </w:r>
      <w:r>
        <w:t xml:space="preserve"> </w:t>
      </w:r>
      <w:r>
        <w:t xml:space="preserve">hepatic glucose output rather than lowering glucose. The programmed rate comes</w:t>
      </w:r>
      <w:r>
        <w:t xml:space="preserve"> </w:t>
      </w:r>
      <w:r>
        <w:t xml:space="preserve">from the recorded schedule in Loop and REPLACE-BG, from the 48 half-hourly rates</w:t>
      </w:r>
      <w:r>
        <w:t xml:space="preserve"> </w:t>
      </w:r>
      <w:r>
        <w:t xml:space="preserve">on the case report form in DCLP3, DCLP5 and PEDAP, and from each person’s own</w:t>
      </w:r>
      <w:r>
        <w:t xml:space="preserve"> </w:t>
      </w:r>
      <w:r>
        <w:t xml:space="preserve">median delivery at that half hour in IOBP2, which programmes no basal at all.</w:t>
      </w:r>
    </w:p>
    <w:p>
      <w:pPr>
        <w:pStyle w:val="BodyText"/>
      </w:pPr>
      <w:r>
        <w:t xml:space="preserve">Entered settings are the per-person median of what was recorded at the time of</w:t>
      </w:r>
      <w:r>
        <w:t xml:space="preserve"> </w:t>
      </w:r>
      <w:r>
        <w:t xml:space="preserve">dosing or on the case report form. They were checked against the pump’s own</w:t>
      </w:r>
      <w:r>
        <w:t xml:space="preserve"> </w:t>
      </w:r>
      <w:r>
        <w:t xml:space="preserve">arithmetic: the sensitivity implied by dividing the glucose excess by the</w:t>
      </w:r>
      <w:r>
        <w:t xml:space="preserve"> </w:t>
      </w:r>
      <w:r>
        <w:t xml:space="preserve">recommended correction agrees with the recorded column at a ratio of 1.000 in</w:t>
      </w:r>
      <w:r>
        <w:t xml:space="preserve"> </w:t>
      </w:r>
      <w:r>
        <w:t xml:space="preserve">Loop.</w:t>
      </w:r>
    </w:p>
    <w:p>
      <w:pPr>
        <w:pStyle w:val="BodyText"/>
      </w:pPr>
      <w:r>
        <w:t xml:space="preserve">Code is at https://github.com/tim2000s/dynamic-isf-calculations. The assembled</w:t>
      </w:r>
      <w:r>
        <w:t xml:space="preserve"> </w:t>
      </w:r>
      <w:r>
        <w:t xml:space="preserve">ratios are produced by</w:t>
      </w:r>
      <w:r>
        <w:t xml:space="preserve"> </w:t>
      </w:r>
      <w:r>
        <w:rPr>
          <w:rStyle w:val="VerbatimChar"/>
        </w:rPr>
        <w:t xml:space="preserve">inv009/ratio_evidence.py</w:t>
      </w:r>
      <w:r>
        <w:t xml:space="preserve">, the estimators by</w:t>
      </w:r>
      <w:r>
        <w:t xml:space="preserve"> </w:t>
      </w:r>
      <w:r>
        <w:rPr>
          <w:rStyle w:val="VerbatimChar"/>
        </w:rPr>
        <w:t xml:space="preserve">inv009/correction_landing.py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inv009/correction_routes.py</w:t>
      </w:r>
      <w:r>
        <w:t xml:space="preserve">, and the</w:t>
      </w:r>
      <w:r>
        <w:t xml:space="preserve"> </w:t>
      </w:r>
      <w:r>
        <w:t xml:space="preserve">simulation check by</w:t>
      </w:r>
      <w:r>
        <w:t xml:space="preserve"> </w:t>
      </w:r>
      <w:r>
        <w:rPr>
          <w:rStyle w:val="VerbatimChar"/>
        </w:rPr>
        <w:t xml:space="preserve">inv009/audit_estimators.py</w:t>
      </w:r>
      <w:r>
        <w:t xml:space="preserve">.</w:t>
      </w:r>
    </w:p>
    <w:bookmarkEnd w:id="15"/>
    <w:bookmarkStart w:id="1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source of the data is the Loop Study (sponsored by the Jaeb Center for Health</w:t>
      </w:r>
      <w:r>
        <w:t xml:space="preserve"> </w:t>
      </w:r>
      <w:r>
        <w:t xml:space="preserve">Research and funded by the Helmsley Charitable Trust), but the analyses, content</w:t>
      </w:r>
      <w:r>
        <w:t xml:space="preserve"> </w:t>
      </w:r>
      <w:r>
        <w:t xml:space="preserve">and conclusions presented herein are solely the responsibility of the authors and</w:t>
      </w:r>
      <w:r>
        <w:t xml:space="preserve"> </w:t>
      </w:r>
      <w:r>
        <w:t xml:space="preserve">have not been reviewed or approved by the study sponsor.</w:t>
      </w:r>
    </w:p>
    <w:p>
      <w:pPr>
        <w:pStyle w:val="BodyText"/>
      </w:pPr>
      <w:r>
        <w:t xml:space="preserve">The source of the data is the Insulin Only Bionic Pancreas Pivotal Trial, but the</w:t>
      </w:r>
      <w:r>
        <w:t xml:space="preserve"> </w:t>
      </w:r>
      <w:r>
        <w:t xml:space="preserve">analyses, content and conclusions presented herein are solely the responsibility</w:t>
      </w:r>
      <w:r>
        <w:t xml:space="preserve"> </w:t>
      </w:r>
      <w:r>
        <w:t xml:space="preserve">of the authors and have not been reviewed or approved by the Bionic Pancreas</w:t>
      </w:r>
      <w:r>
        <w:t xml:space="preserve"> </w:t>
      </w:r>
      <w:r>
        <w:t xml:space="preserve">Research Group or Beta Bionics.</w:t>
      </w:r>
    </w:p>
    <w:p>
      <w:pPr>
        <w:pStyle w:val="BodyText"/>
      </w:pPr>
      <w:r>
        <w:t xml:space="preserve">Data from REPLACE-BG, DCLP3, DCLP5 and PEDAP were supplied by the Jaeb Center for</w:t>
      </w:r>
      <w:r>
        <w:t xml:space="preserve"> </w:t>
      </w:r>
      <w:r>
        <w:t xml:space="preserve">Health Research. The author thanks the participants of all six cohorts and the</w:t>
      </w:r>
      <w:r>
        <w:t xml:space="preserve"> </w:t>
      </w:r>
      <w:r>
        <w:t xml:space="preserve">curators of the OpenAPS Data Commons.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Observational insulin sensitivity sits below entered settings in every cohort tested</dc:title>
  <dc:creator>Tim Street, Diabettech</dc:creator>
  <cp:keywords/>
  <dcterms:created xsi:type="dcterms:W3CDTF">2026-08-27T11:35:26Z</dcterms:created>
  <dcterms:modified xsi:type="dcterms:W3CDTF">2026-08-27T11:35:26Z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27 August 2026</vt:lpwstr>
  </property>
  <property fmtid="{D5CDD505-2E9C-101B-9397-08002B2CF9AE}" pid="3" name="subtitle">
    <vt:lpwstr>A replication across 1,679 people in six trials, and what it means for sensitivity derived from device data</vt:lpwstr>
  </property>
</Properties>
</file>