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Updated constants from data analysis</w:t>
      </w:r>
    </w:p>
    <w:p>
      <w:pPr>
        <w:pStyle w:val="Subtitle"/>
      </w:pPr>
      <w:r>
        <w:t xml:space="preserve">The three Walsh rules recomputed across 719 people in seven cohorts</w:t>
      </w:r>
    </w:p>
    <w:p>
      <w:pPr>
        <w:pStyle w:val="Author"/>
      </w:pPr>
      <w:r>
        <w:t xml:space="preserve">Tim Street</w:t>
      </w:r>
    </w:p>
    <w:p>
      <w:pPr>
        <w:pStyle w:val="Date"/>
      </w:pPr>
      <w:r>
        <w:t xml:space="preserve">26 August 2026</w:t>
      </w:r>
    </w:p>
    <w:bookmarkStart w:id="9" w:name="what-this-replaces"/>
    <w:p>
      <w:pPr>
        <w:pStyle w:val="Heading2"/>
      </w:pPr>
      <w:r>
        <w:t xml:space="preserve">What this replaces</w:t>
      </w:r>
    </w:p>
    <w:p>
      <w:pPr>
        <w:pStyle w:val="FirstParagraph"/>
      </w:pPr>
      <w:r>
        <w:t xml:space="preserve">An analysis in May tested Walsh’s three rules against 138 open-source loop users</w:t>
      </w:r>
      <w:r>
        <w:t xml:space="preserve"> </w:t>
      </w:r>
      <w:r>
        <w:t xml:space="preserve">and found all three wrong, including the parametric form: the slope of log</w:t>
      </w:r>
      <w:r>
        <w:t xml:space="preserve"> </w:t>
      </w:r>
      <w:r>
        <w:t xml:space="preserve">sensitivity on log daily dose came out at -0.43 where the rule implies -1.</w:t>
      </w:r>
    </w:p>
    <w:p>
      <w:pPr>
        <w:pStyle w:val="BodyText"/>
      </w:pPr>
      <w:r>
        <w:t xml:space="preserve">This repeats that work on 719 people. The original 138 are included unchanged, so</w:t>
      </w:r>
      <w:r>
        <w:t xml:space="preserve"> </w:t>
      </w:r>
      <w:r>
        <w:t xml:space="preserve">the earlier result can be read beside the new ones rather than replaced by them,</w:t>
      </w:r>
      <w:r>
        <w:t xml:space="preserve"> </w:t>
      </w:r>
      <w:r>
        <w:t xml:space="preserve">and it reproduces exactly.</w:t>
      </w:r>
    </w:p>
    <w:p>
      <w:pPr>
        <w:pStyle w:val="BodyText"/>
      </w:pPr>
      <w:r>
        <w:t xml:space="preserve">The main finding is one the smaller cohort could not have shown.</w:t>
      </w:r>
      <w:r>
        <w:t xml:space="preserve"> </w:t>
      </w:r>
      <w:r>
        <w:rPr>
          <w:b/>
          <w:bCs/>
        </w:rPr>
        <w:t xml:space="preserve">Walsh’s</w:t>
      </w:r>
      <w:r>
        <w:rPr>
          <w:b/>
          <w:bCs/>
        </w:rPr>
        <w:t xml:space="preserve"> </w:t>
      </w:r>
      <w:r>
        <w:rPr>
          <w:b/>
          <w:bCs/>
        </w:rPr>
        <w:t xml:space="preserve">sensitivity constant is nearer right for adults than for children and wrong for</w:t>
      </w:r>
      <w:r>
        <w:rPr>
          <w:b/>
          <w:bCs/>
        </w:rPr>
        <w:t xml:space="preserve"> </w:t>
      </w:r>
      <w:r>
        <w:rPr>
          <w:b/>
          <w:bCs/>
        </w:rPr>
        <w:t xml:space="preserve">both</w:t>
      </w:r>
      <w:r>
        <w:t xml:space="preserve">, and the pooled figures everyone quotes, the May analysis included, are</w:t>
      </w:r>
      <w:r>
        <w:t xml:space="preserve"> </w:t>
      </w:r>
      <w:r>
        <w:t xml:space="preserve">driven by which ages happen to be in the sample. In adults it is out by 13% and</w:t>
      </w:r>
      <w:r>
        <w:t xml:space="preserve"> </w:t>
      </w:r>
      <w:r>
        <w:t xml:space="preserve">in children by 41%, in the same direction; the carb ratio rule misses by a fifth</w:t>
      </w:r>
      <w:r>
        <w:t xml:space="preserve"> </w:t>
      </w:r>
      <w:r>
        <w:t xml:space="preserve">at every age; only the basal rule holds.</w:t>
      </w:r>
    </w:p>
    <w:bookmarkEnd w:id="9"/>
    <w:bookmarkStart w:id="10" w:name="the-three-constants"/>
    <w:p>
      <w:pPr>
        <w:pStyle w:val="Heading2"/>
      </w:pPr>
      <w:r>
        <w:t xml:space="preserve">The three constants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Walsh</w:t>
            </w:r>
          </w:p>
        </w:tc>
        <w:tc>
          <w:tcPr/>
          <w:p>
            <w:pPr>
              <w:pStyle w:val="Compact"/>
            </w:pPr>
            <w:r>
              <w:t xml:space="preserve">All 719</w:t>
            </w:r>
          </w:p>
        </w:tc>
        <w:tc>
          <w:tcPr/>
          <w:p>
            <w:pPr>
              <w:pStyle w:val="Compact"/>
            </w:pPr>
            <w:r>
              <w:t xml:space="preserve">95% interval</w:t>
            </w:r>
          </w:p>
        </w:tc>
        <w:tc>
          <w:tcPr/>
          <w:p>
            <w:pPr>
              <w:pStyle w:val="Compact"/>
            </w:pPr>
            <w:r>
              <w:t xml:space="preserve">Adults only</w:t>
            </w:r>
          </w:p>
        </w:tc>
        <w:tc>
          <w:tcPr/>
          <w:p>
            <w:pPr>
              <w:pStyle w:val="Compact"/>
            </w:pPr>
            <w:r>
              <w:t xml:space="preserve">Under 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Sensitivity x daily dose</w:t>
            </w:r>
          </w:p>
        </w:tc>
        <w:tc>
          <w:tcPr/>
          <w:p>
            <w:pPr>
              <w:pStyle w:val="Compact"/>
            </w:pPr>
            <w:r>
              <w:t xml:space="preserve">1700</w:t>
            </w:r>
          </w:p>
        </w:tc>
        <w:tc>
          <w:tcPr/>
          <w:p>
            <w:pPr>
              <w:pStyle w:val="Compact"/>
            </w:pPr>
            <w:r>
              <w:t xml:space="preserve">2108</w:t>
            </w:r>
          </w:p>
        </w:tc>
        <w:tc>
          <w:tcPr/>
          <w:p>
            <w:pPr>
              <w:pStyle w:val="Compact"/>
            </w:pPr>
            <w:r>
              <w:t xml:space="preserve">2048 to 2183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1915</w:t>
            </w:r>
          </w:p>
        </w:tc>
        <w:tc>
          <w:tcPr/>
          <w:p>
            <w:pPr>
              <w:pStyle w:val="Compact"/>
            </w:pPr>
            <w:r>
              <w:t xml:space="preserve">2390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Carb ratio x daily dose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392 to 422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414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Basal share of daily dose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0.49</w:t>
            </w:r>
          </w:p>
        </w:tc>
        <w:tc>
          <w:tcPr/>
          <w:p>
            <w:pPr>
              <w:pStyle w:val="Compact"/>
            </w:pPr>
            <w:r>
              <w:t xml:space="preserve">0.48 to 0.50</w:t>
            </w:r>
          </w:p>
        </w:tc>
        <w:tc>
          <w:tcPr/>
          <w:p>
            <w:pPr>
              <w:pStyle w:val="Compact"/>
            </w:pPr>
            <w:r>
              <w:t xml:space="preserve">0.52</w:t>
            </w:r>
          </w:p>
        </w:tc>
        <w:tc>
          <w:tcPr/>
          <w:p>
            <w:pPr>
              <w:pStyle w:val="Compact"/>
            </w:pPr>
            <w:r>
              <w:t xml:space="preserve">0.47</w:t>
            </w:r>
          </w:p>
        </w:tc>
      </w:tr>
    </w:tbl>
    <w:p>
      <w:pPr>
        <w:pStyle w:val="BodyText"/>
      </w:pPr>
      <w:r>
        <w:t xml:space="preserve">Read across the sensitivity row rather than down it. Both the pooled and the adult</w:t>
      </w:r>
      <w:r>
        <w:t xml:space="preserve"> </w:t>
      </w:r>
      <w:r>
        <w:t xml:space="preserve">columns cover all 719 people; the under-18 column is the JAEB studies alone, because</w:t>
      </w:r>
      <w:r>
        <w:t xml:space="preserve"> </w:t>
      </w:r>
      <w:r>
        <w:t xml:space="preserve">the OpenAPS Commons cohort contains no children. Pooled, the constant sits 24% above</w:t>
      </w:r>
      <w:r>
        <w:t xml:space="preserve"> </w:t>
      </w:r>
      <w:r>
        <w:t xml:space="preserve">Walsh and the interval excludes it. Restricted to adults it lands at 1915, and within</w:t>
      </w:r>
      <w:r>
        <w:t xml:space="preserve"> </w:t>
      </w:r>
      <w:r>
        <w:t xml:space="preserve">that the two sources disagree: 1799 in the JAEB studies against 2381 in Commons, whose</w:t>
      </w:r>
      <w:r>
        <w:t xml:space="preserve"> </w:t>
      </w:r>
      <w:r>
        <w:t xml:space="preserve">members set their own numbers rather than being given them. For JAEB people over 45 it</w:t>
      </w:r>
      <w:r>
        <w:t xml:space="preserve"> </w:t>
      </w:r>
      <w:r>
        <w:t xml:space="preserve">falls to 1766 with an interval of 1680 to 1839, which is the one cell in this entire</w:t>
      </w:r>
      <w:r>
        <w:t xml:space="preserve"> </w:t>
      </w:r>
      <w:r>
        <w:t xml:space="preserve">analysis consistent with 1700.</w:t>
      </w:r>
    </w:p>
    <w:p>
      <w:pPr>
        <w:pStyle w:val="BodyText"/>
      </w:pPr>
      <w:r>
        <w:t xml:space="preserve">Half of the pooled sample is under 18, so the headline 2108 is close to an average of</w:t>
      </w:r>
      <w:r>
        <w:t xml:space="preserve"> </w:t>
      </w:r>
      <w:r>
        <w:t xml:space="preserve">two different populations rather than a description of either. That is the reason to</w:t>
      </w:r>
      <w:r>
        <w:t xml:space="preserve"> </w:t>
      </w:r>
      <w:r>
        <w:t xml:space="preserve">read the row and not the corner, and it is the trap the May analysis fell into.</w:t>
      </w:r>
    </w:p>
    <w:p>
      <w:pPr>
        <w:pStyle w:val="BodyText"/>
      </w:pPr>
      <w:r>
        <w:t xml:space="preserve">The carb ratio rule is the clearest failure and the most consistent. At 409 it</w:t>
      </w:r>
      <w:r>
        <w:t xml:space="preserve"> </w:t>
      </w:r>
      <w:r>
        <w:t xml:space="preserve">misses 500 by a fifth in every cohort and at every age, so people enter more</w:t>
      </w:r>
      <w:r>
        <w:t xml:space="preserve"> </w:t>
      </w:r>
      <w:r>
        <w:t xml:space="preserve">insulin per gram than the rule prescribes.</w:t>
      </w:r>
    </w:p>
    <w:p>
      <w:pPr>
        <w:pStyle w:val="BodyText"/>
      </w:pPr>
      <w:r>
        <w:t xml:space="preserve">The basal rule survives. At 0.49 across everyone the interval covers Walsh’s half</w:t>
      </w:r>
      <w:r>
        <w:t xml:space="preserve"> </w:t>
      </w:r>
      <w:r>
        <w:t xml:space="preserve">exactly. That is worth stating plainly, because it is the only one of the three</w:t>
      </w:r>
      <w:r>
        <w:t xml:space="preserve"> </w:t>
      </w:r>
      <w:r>
        <w:t xml:space="preserve">that holds, and it holds despite wide variation underneath it.</w:t>
      </w:r>
    </w:p>
    <w:bookmarkEnd w:id="10"/>
    <w:bookmarkStart w:id="11" w:name="X8d251b48296e6773fbcfc61d494628b0918b7cc"/>
    <w:p>
      <w:pPr>
        <w:pStyle w:val="Heading2"/>
      </w:pPr>
      <w:r>
        <w:t xml:space="preserve">Sensitivity by age, which is where the pooled figure comes from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 band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Sensitivity x dose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Consistent with 1700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to 5</w:t>
            </w:r>
          </w:p>
        </w:tc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2163</w:t>
            </w:r>
          </w:p>
        </w:tc>
        <w:tc>
          <w:tcPr/>
          <w:p>
            <w:pPr>
              <w:pStyle w:val="Compact"/>
            </w:pPr>
            <w:r>
              <w:t xml:space="preserve">2045 to 2389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to 12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2561</w:t>
            </w:r>
          </w:p>
        </w:tc>
        <w:tc>
          <w:tcPr/>
          <w:p>
            <w:pPr>
              <w:pStyle w:val="Compact"/>
            </w:pPr>
            <w:r>
              <w:t xml:space="preserve">2406 to 2695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 to 17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2350</w:t>
            </w:r>
          </w:p>
        </w:tc>
        <w:tc>
          <w:tcPr/>
          <w:p>
            <w:pPr>
              <w:pStyle w:val="Compact"/>
            </w:pPr>
            <w:r>
              <w:t xml:space="preserve">2243 to 2624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 to 44</w:t>
            </w:r>
          </w:p>
        </w:tc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t xml:space="preserve">1830</w:t>
            </w:r>
          </w:p>
        </w:tc>
        <w:tc>
          <w:tcPr/>
          <w:p>
            <w:pPr>
              <w:pStyle w:val="Compact"/>
            </w:pPr>
            <w:r>
              <w:t xml:space="preserve">1738 to 1944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 and over</w:t>
            </w:r>
          </w:p>
        </w:tc>
        <w:tc>
          <w:tcPr/>
          <w:p>
            <w:pPr>
              <w:pStyle w:val="Compact"/>
            </w:pPr>
            <w:r>
              <w:t xml:space="preserve">122</w:t>
            </w:r>
          </w:p>
        </w:tc>
        <w:tc>
          <w:tcPr/>
          <w:p>
            <w:pPr>
              <w:pStyle w:val="Compact"/>
            </w:pPr>
            <w:r>
              <w:t xml:space="preserve">1766</w:t>
            </w:r>
          </w:p>
        </w:tc>
        <w:tc>
          <w:tcPr/>
          <w:p>
            <w:pPr>
              <w:pStyle w:val="Compact"/>
            </w:pPr>
            <w:r>
              <w:t xml:space="preserve">1680 to 1839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</w:tbl>
    <w:p>
      <w:pPr>
        <w:pStyle w:val="BodyText"/>
      </w:pPr>
      <w:r>
        <w:t xml:space="preserve">The constant falls steadily from age six onward and only reaches Walsh’s value in</w:t>
      </w:r>
      <w:r>
        <w:t xml:space="preserve"> </w:t>
      </w:r>
      <w:r>
        <w:t xml:space="preserve">the oldest group. A child of ten needs roughly half again the sensitivity factor</w:t>
      </w:r>
      <w:r>
        <w:t xml:space="preserve"> </w:t>
      </w:r>
      <w:r>
        <w:t xml:space="preserve">the rule would give them, which in dosing terms means the rule would correct a</w:t>
      </w:r>
      <w:r>
        <w:t xml:space="preserve"> </w:t>
      </w:r>
      <w:r>
        <w:t xml:space="preserve">child about 50% harder than their own settings say.</w:t>
      </w:r>
    </w:p>
    <w:p>
      <w:pPr>
        <w:pStyle w:val="BodyText"/>
      </w:pPr>
      <w:r>
        <w:t xml:space="preserve">The carb ratio moves the other way and more weakly: 297 at ages 2 to 5, rising to</w:t>
      </w:r>
      <w:r>
        <w:t xml:space="preserve"> </w:t>
      </w:r>
      <w:r>
        <w:t xml:space="preserve">479 by 6 to 12, then settling near 400 in adults. Only the school-age bands are</w:t>
      </w:r>
      <w:r>
        <w:t xml:space="preserve"> </w:t>
      </w:r>
      <w:r>
        <w:t xml:space="preserve">consistent with the 500 rule.</w:t>
      </w:r>
    </w:p>
    <w:bookmarkEnd w:id="11"/>
    <w:bookmarkStart w:id="12" w:name="X3fcdb9c46e4a1047f39a692b50497e3e1c696ac"/>
    <w:p>
      <w:pPr>
        <w:pStyle w:val="Heading2"/>
      </w:pPr>
      <w:r>
        <w:t xml:space="preserve">The parametric form, and a caution about how it is usually tested</w:t>
      </w:r>
    </w:p>
    <w:p>
      <w:pPr>
        <w:pStyle w:val="FirstParagraph"/>
      </w:pPr>
      <w:r>
        <w:t xml:space="preserve">Walsh’s rule implies that sensitivity is inversely proportional to daily dose, so</w:t>
      </w:r>
      <w:r>
        <w:t xml:space="preserve"> </w:t>
      </w:r>
      <w:r>
        <w:t xml:space="preserve">a log-log slope of exactly -1.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Cohort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Slope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Excludes 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JAEB pooled</w:t>
            </w:r>
          </w:p>
        </w:tc>
        <w:tc>
          <w:tcPr/>
          <w:p>
            <w:pPr>
              <w:pStyle w:val="Compact"/>
            </w:pPr>
            <w:r>
              <w:t xml:space="preserve">581</w:t>
            </w:r>
          </w:p>
        </w:tc>
        <w:tc>
          <w:tcPr/>
          <w:p>
            <w:pPr>
              <w:pStyle w:val="Compact"/>
            </w:pPr>
            <w:r>
              <w:t xml:space="preserve">-0.98</w:t>
            </w:r>
          </w:p>
        </w:tc>
        <w:tc>
          <w:tcPr/>
          <w:p>
            <w:pPr>
              <w:pStyle w:val="Compact"/>
            </w:pPr>
            <w:r>
              <w:t xml:space="preserve">-1.03 to -0.93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JAEB adults only</w:t>
            </w:r>
          </w:p>
        </w:tc>
        <w:tc>
          <w:tcPr/>
          <w:p>
            <w:pPr>
              <w:pStyle w:val="Compact"/>
            </w:pPr>
            <w:r>
              <w:t xml:space="preserve">284</w:t>
            </w:r>
          </w:p>
        </w:tc>
        <w:tc>
          <w:tcPr/>
          <w:p>
            <w:pPr>
              <w:pStyle w:val="Compact"/>
            </w:pPr>
            <w:r>
              <w:t xml:space="preserve">-0.73</w:t>
            </w:r>
          </w:p>
        </w:tc>
        <w:tc>
          <w:tcPr/>
          <w:p>
            <w:pPr>
              <w:pStyle w:val="Compact"/>
            </w:pPr>
            <w:r>
              <w:t xml:space="preserve">-0.82 to -0.65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JAEB under 18</w:t>
            </w:r>
          </w:p>
        </w:tc>
        <w:tc>
          <w:tcPr/>
          <w:p>
            <w:pPr>
              <w:pStyle w:val="Compact"/>
            </w:pPr>
            <w:r>
              <w:t xml:space="preserve">297</w:t>
            </w:r>
          </w:p>
        </w:tc>
        <w:tc>
          <w:tcPr/>
          <w:p>
            <w:pPr>
              <w:pStyle w:val="Compact"/>
            </w:pPr>
            <w:r>
              <w:t xml:space="preserve">-0.91</w:t>
            </w:r>
          </w:p>
        </w:tc>
        <w:tc>
          <w:tcPr/>
          <w:p>
            <w:pPr>
              <w:pStyle w:val="Compact"/>
            </w:pPr>
            <w:r>
              <w:t xml:space="preserve">-0.96 to -0.85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OpenAPS Commons</w:t>
            </w:r>
          </w:p>
        </w:tc>
        <w:tc>
          <w:tcPr/>
          <w:p>
            <w:pPr>
              <w:pStyle w:val="Compact"/>
            </w:pPr>
            <w:r>
              <w:t xml:space="preserve">138</w:t>
            </w:r>
          </w:p>
        </w:tc>
        <w:tc>
          <w:tcPr/>
          <w:p>
            <w:pPr>
              <w:pStyle w:val="Compact"/>
            </w:pPr>
            <w:r>
              <w:t xml:space="preserve">-0.43</w:t>
            </w:r>
          </w:p>
        </w:tc>
        <w:tc>
          <w:tcPr/>
          <w:p>
            <w:pPr>
              <w:pStyle w:val="Compact"/>
            </w:pPr>
            <w:r>
              <w:t xml:space="preserve">-0.59 to -0.27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Everything</w:t>
            </w:r>
          </w:p>
        </w:tc>
        <w:tc>
          <w:tcPr/>
          <w:p>
            <w:pPr>
              <w:pStyle w:val="Compact"/>
            </w:pPr>
            <w:r>
              <w:t xml:space="preserve">719</w:t>
            </w:r>
          </w:p>
        </w:tc>
        <w:tc>
          <w:tcPr/>
          <w:p>
            <w:pPr>
              <w:pStyle w:val="Compact"/>
            </w:pPr>
            <w:r>
              <w:t xml:space="preserve">-0.87</w:t>
            </w:r>
          </w:p>
        </w:tc>
        <w:tc>
          <w:tcPr/>
          <w:p>
            <w:pPr>
              <w:pStyle w:val="Compact"/>
            </w:pPr>
            <w:r>
              <w:t xml:space="preserve">-0.93 to -0.82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The pooled JAEB slope of -0.98 looks like a confirmation of Walsh and is not one.</w:t>
      </w:r>
      <w:r>
        <w:t xml:space="preserve"> </w:t>
      </w:r>
      <w:r>
        <w:t xml:space="preserve">Restricting the same people to adults moves it to -0.73. What produces the tidy</w:t>
      </w:r>
      <w:r>
        <w:t xml:space="preserve"> </w:t>
      </w:r>
      <w:r>
        <w:t xml:space="preserve">-1 is mixing young children, who use little insulin and have high sensitivity</w:t>
      </w:r>
      <w:r>
        <w:t xml:space="preserve"> </w:t>
      </w:r>
      <w:r>
        <w:t xml:space="preserve">factors, with adults who do neither. Between-group differences in level create a</w:t>
      </w:r>
      <w:r>
        <w:t xml:space="preserve"> </w:t>
      </w:r>
      <w:r>
        <w:t xml:space="preserve">gradient that has nothing to do with how sensitivity varies within anybody.</w:t>
      </w:r>
    </w:p>
    <w:p>
      <w:pPr>
        <w:pStyle w:val="BodyText"/>
      </w:pPr>
      <w:r>
        <w:t xml:space="preserve">This is not a range effect. The v7 and Loop cohorts span an identical spread of</w:t>
      </w:r>
      <w:r>
        <w:t xml:space="preserve"> </w:t>
      </w:r>
      <w:r>
        <w:t xml:space="preserve">daily doses, 1.43 in logs, and return slopes of -0.46 and -0.94.</w:t>
      </w:r>
    </w:p>
    <w:p>
      <w:pPr>
        <w:pStyle w:val="BodyText"/>
      </w:pPr>
      <w:r>
        <w:t xml:space="preserve">So a validation of the 1700 rule performed on a mixed-age cohort will tend to</w:t>
      </w:r>
      <w:r>
        <w:t xml:space="preserve"> </w:t>
      </w:r>
      <w:r>
        <w:t xml:space="preserve">confirm it, and the confirmation will be an artefact of composition. That is the</w:t>
      </w:r>
      <w:r>
        <w:t xml:space="preserve"> </w:t>
      </w:r>
      <w:r>
        <w:t xml:space="preserve">methodological point of this analysis and it applies to the May result as much as</w:t>
      </w:r>
      <w:r>
        <w:t xml:space="preserve"> </w:t>
      </w:r>
      <w:r>
        <w:t xml:space="preserve">to anyone else’s.</w:t>
      </w:r>
    </w:p>
    <w:bookmarkEnd w:id="12"/>
    <w:bookmarkStart w:id="13" w:name="results-by-cohort"/>
    <w:p>
      <w:pPr>
        <w:pStyle w:val="Heading2"/>
      </w:pPr>
      <w:r>
        <w:t xml:space="preserve">Results by cohort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Cohort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Sensitivity x dose</w:t>
            </w:r>
          </w:p>
        </w:tc>
        <w:tc>
          <w:tcPr/>
          <w:p>
            <w:pPr>
              <w:pStyle w:val="Compact"/>
            </w:pPr>
            <w:r>
              <w:t xml:space="preserve">Carb ratio x dose</w:t>
            </w:r>
          </w:p>
        </w:tc>
        <w:tc>
          <w:tcPr/>
          <w:p>
            <w:pPr>
              <w:pStyle w:val="Compact"/>
            </w:pPr>
            <w:r>
              <w:t xml:space="preserve">Basal share</w:t>
            </w:r>
          </w:p>
        </w:tc>
        <w:tc>
          <w:tcPr/>
          <w:p>
            <w:pPr>
              <w:pStyle w:val="Compact"/>
            </w:pPr>
            <w:r>
              <w:t xml:space="preserve">Slope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</w:t>
            </w:r>
          </w:p>
        </w:tc>
        <w:tc>
          <w:tcPr/>
          <w:p>
            <w:pPr>
              <w:pStyle w:val="Compact"/>
            </w:pPr>
            <w:r>
              <w:t xml:space="preserve">194</w:t>
            </w:r>
          </w:p>
        </w:tc>
        <w:tc>
          <w:tcPr/>
          <w:p>
            <w:pPr>
              <w:pStyle w:val="Compact"/>
            </w:pPr>
            <w:r>
              <w:t xml:space="preserve">2043 (1913 to 2249)</w:t>
            </w:r>
          </w:p>
        </w:tc>
        <w:tc>
          <w:tcPr/>
          <w:p>
            <w:pPr>
              <w:pStyle w:val="Compact"/>
            </w:pPr>
            <w:r>
              <w:t xml:space="preserve">375 (357 to 407)</w:t>
            </w:r>
          </w:p>
        </w:tc>
        <w:tc>
          <w:tcPr/>
          <w:p>
            <w:pPr>
              <w:pStyle w:val="Compact"/>
            </w:pPr>
            <w:r>
              <w:t xml:space="preserve">0.58</w:t>
            </w:r>
          </w:p>
        </w:tc>
        <w:tc>
          <w:tcPr/>
          <w:p>
            <w:pPr>
              <w:pStyle w:val="Compact"/>
            </w:pPr>
            <w:r>
              <w:t xml:space="preserve">-0.94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REPLACE-BG</w:t>
            </w:r>
          </w:p>
        </w:tc>
        <w:tc>
          <w:tcPr/>
          <w:p>
            <w:pPr>
              <w:pStyle w:val="Compact"/>
            </w:pPr>
            <w:r>
              <w:t xml:space="preserve">192</w:t>
            </w:r>
          </w:p>
        </w:tc>
        <w:tc>
          <w:tcPr/>
          <w:p>
            <w:pPr>
              <w:pStyle w:val="Compact"/>
            </w:pPr>
            <w:r>
              <w:t xml:space="preserve">1853 (1791 to 1936)</w:t>
            </w:r>
          </w:p>
        </w:tc>
        <w:tc>
          <w:tcPr/>
          <w:p>
            <w:pPr>
              <w:pStyle w:val="Compact"/>
            </w:pPr>
            <w:r>
              <w:t xml:space="preserve">431 (410 to 460)</w:t>
            </w:r>
          </w:p>
        </w:tc>
        <w:tc>
          <w:tcPr/>
          <w:p>
            <w:pPr>
              <w:pStyle w:val="Compact"/>
            </w:pPr>
            <w:r>
              <w:t xml:space="preserve">0.51</w:t>
            </w:r>
          </w:p>
        </w:tc>
        <w:tc>
          <w:tcPr/>
          <w:p>
            <w:pPr>
              <w:pStyle w:val="Compact"/>
            </w:pPr>
            <w:r>
              <w:t xml:space="preserve">-0.72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DCLP5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2429 (2306 to 2580)</w:t>
            </w:r>
          </w:p>
        </w:tc>
        <w:tc>
          <w:tcPr/>
          <w:p>
            <w:pPr>
              <w:pStyle w:val="Compact"/>
            </w:pPr>
            <w:r>
              <w:t xml:space="preserve">513 (479 to 542)</w:t>
            </w:r>
          </w:p>
        </w:tc>
        <w:tc>
          <w:tcPr/>
          <w:p>
            <w:pPr>
              <w:pStyle w:val="Compact"/>
            </w:pPr>
            <w:r>
              <w:t xml:space="preserve">0.46</w:t>
            </w:r>
          </w:p>
        </w:tc>
        <w:tc>
          <w:tcPr/>
          <w:p>
            <w:pPr>
              <w:pStyle w:val="Compact"/>
            </w:pPr>
            <w:r>
              <w:t xml:space="preserve">-1.00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PEDAP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2162 (2045 to 2317)</w:t>
            </w:r>
          </w:p>
        </w:tc>
        <w:tc>
          <w:tcPr/>
          <w:p>
            <w:pPr>
              <w:pStyle w:val="Compact"/>
            </w:pPr>
            <w:r>
              <w:t xml:space="preserve">291 (266 to 317)</w:t>
            </w:r>
          </w:p>
        </w:tc>
        <w:tc>
          <w:tcPr/>
          <w:p>
            <w:pPr>
              <w:pStyle w:val="Compact"/>
            </w:pPr>
            <w:r>
              <w:t xml:space="preserve">0.41</w:t>
            </w:r>
          </w:p>
        </w:tc>
        <w:tc>
          <w:tcPr/>
          <w:p>
            <w:pPr>
              <w:pStyle w:val="Compact"/>
            </w:pPr>
            <w:r>
              <w:t xml:space="preserve">-0.89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 Trio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2682 (2216 to 2962)</w:t>
            </w:r>
          </w:p>
        </w:tc>
        <w:tc>
          <w:tcPr/>
          <w:p>
            <w:pPr>
              <w:pStyle w:val="Compact"/>
            </w:pPr>
            <w:r>
              <w:t xml:space="preserve">373 (279 to 459)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-0.53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 AAPS classic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2953 (2201 to 5713)</w:t>
            </w:r>
          </w:p>
        </w:tc>
        <w:tc>
          <w:tcPr/>
          <w:p>
            <w:pPr>
              <w:pStyle w:val="Compact"/>
            </w:pPr>
            <w:r>
              <w:t xml:space="preserve">526 (409 to 607)</w:t>
            </w:r>
          </w:p>
        </w:tc>
        <w:tc>
          <w:tcPr/>
          <w:p>
            <w:pPr>
              <w:pStyle w:val="Compact"/>
            </w:pPr>
            <w:r>
              <w:t xml:space="preserve">0.39</w:t>
            </w:r>
          </w:p>
        </w:tc>
        <w:tc>
          <w:tcPr/>
          <w:p>
            <w:pPr>
              <w:pStyle w:val="Compact"/>
            </w:pPr>
            <w:r>
              <w:t xml:space="preserve">-0.03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v7 oref0</w:t>
            </w:r>
          </w:p>
        </w:tc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t xml:space="preserve">2164 (2044 to 2566)</w:t>
            </w:r>
          </w:p>
        </w:tc>
        <w:tc>
          <w:tcPr/>
          <w:p>
            <w:pPr>
              <w:pStyle w:val="Compact"/>
            </w:pPr>
            <w:r>
              <w:t xml:space="preserve">387 (315 to 436)</w:t>
            </w:r>
          </w:p>
        </w:tc>
        <w:tc>
          <w:tcPr/>
          <w:p>
            <w:pPr>
              <w:pStyle w:val="Compact"/>
            </w:pPr>
            <w:r>
              <w:t xml:space="preserve">0.48</w:t>
            </w:r>
          </w:p>
        </w:tc>
        <w:tc>
          <w:tcPr/>
          <w:p>
            <w:pPr>
              <w:pStyle w:val="Compact"/>
            </w:pPr>
            <w:r>
              <w:t xml:space="preserve">-0.46</w:t>
            </w:r>
          </w:p>
        </w:tc>
      </w:tr>
    </w:tbl>
    <w:p>
      <w:pPr>
        <w:pStyle w:val="BodyText"/>
      </w:pPr>
      <w:r>
        <w:t xml:space="preserve">DCLP3 and IOBP2 are absent because neither release ships a settings file. The</w:t>
      </w:r>
      <w:r>
        <w:t xml:space="preserve"> </w:t>
      </w:r>
      <w:r>
        <w:t xml:space="preserve">bionic pancreas has no sensitivity factor to record by design.</w:t>
      </w:r>
    </w:p>
    <w:p>
      <w:pPr>
        <w:pStyle w:val="BodyText"/>
      </w:pPr>
      <w:r>
        <w:t xml:space="preserve">Three cohort-level observations.</w:t>
      </w:r>
    </w:p>
    <w:p>
      <w:pPr>
        <w:pStyle w:val="BodyText"/>
      </w:pPr>
      <w:r>
        <w:t xml:space="preserve">The paediatric cohorts differ from each other more than from the adults. PEDAP,</w:t>
      </w:r>
      <w:r>
        <w:t xml:space="preserve"> </w:t>
      </w:r>
      <w:r>
        <w:t xml:space="preserve">ages 2 to 5, has the lowest carb ratio constant at 291 and the lowest basal share</w:t>
      </w:r>
      <w:r>
        <w:t xml:space="preserve"> </w:t>
      </w:r>
      <w:r>
        <w:t xml:space="preserve">at 0.41. DCLP5, ages 6 to 13, has the highest sensitivity constant among the</w:t>
      </w:r>
      <w:r>
        <w:t xml:space="preserve"> </w:t>
      </w:r>
      <w:r>
        <w:t xml:space="preserve">paediatric groups at 2429 and a carb ratio constant of 513 that is consistent</w:t>
      </w:r>
      <w:r>
        <w:t xml:space="preserve"> </w:t>
      </w:r>
      <w:r>
        <w:t xml:space="preserve">with Walsh.</w:t>
      </w:r>
    </w:p>
    <w:p>
      <w:pPr>
        <w:pStyle w:val="BodyText"/>
      </w:pPr>
      <w:r>
        <w:t xml:space="preserve">Loop’s basal share of 0.58 is the highest here and the furthest from Walsh. It is</w:t>
      </w:r>
      <w:r>
        <w:t xml:space="preserve"> </w:t>
      </w:r>
      <w:r>
        <w:t xml:space="preserve">also a delivered share rather than a programmed one, and under an automated</w:t>
      </w:r>
      <w:r>
        <w:t xml:space="preserve"> </w:t>
      </w:r>
      <w:r>
        <w:t xml:space="preserve">system those differ, so it is not directly comparable to the OpenAPS Commons</w:t>
      </w:r>
      <w:r>
        <w:t xml:space="preserve"> </w:t>
      </w:r>
      <w:r>
        <w:t xml:space="preserve">figures, which are programmed.</w:t>
      </w:r>
    </w:p>
    <w:p>
      <w:pPr>
        <w:pStyle w:val="BodyText"/>
      </w:pPr>
      <w:r>
        <w:t xml:space="preserve">The three OpenAPS Commons cohorts all have shallow slopes, from -0.03 to -0.53,</w:t>
      </w:r>
      <w:r>
        <w:t xml:space="preserve"> </w:t>
      </w:r>
      <w:r>
        <w:t xml:space="preserve">while the JAEB cohorts sit between -0.72 and -1.00. These are people who have</w:t>
      </w:r>
      <w:r>
        <w:t xml:space="preserve"> </w:t>
      </w:r>
      <w:r>
        <w:t xml:space="preserve">tuned settings themselves over years against people whose settings came from a</w:t>
      </w:r>
      <w:r>
        <w:t xml:space="preserve"> </w:t>
      </w:r>
      <w:r>
        <w:t xml:space="preserve">clinic within a trial. A rule fits best where people follow it.</w:t>
      </w:r>
    </w:p>
    <w:bookmarkEnd w:id="13"/>
    <w:bookmarkStart w:id="17" w:name="measured-rather-than-entered"/>
    <w:p>
      <w:pPr>
        <w:pStyle w:val="Heading2"/>
      </w:pPr>
      <w:r>
        <w:t xml:space="preserve">Measured rather than entered</w:t>
      </w:r>
    </w:p>
    <w:p>
      <w:pPr>
        <w:pStyle w:val="FirstParagraph"/>
      </w:pPr>
      <w:r>
        <w:t xml:space="preserve">Everything above multiplies a setting somebody typed into a pump by their daily</w:t>
      </w:r>
      <w:r>
        <w:t xml:space="preserve"> </w:t>
      </w:r>
      <w:r>
        <w:t xml:space="preserve">dose, which answers what people run. It does not answer what the constant should</w:t>
      </w:r>
      <w:r>
        <w:t xml:space="preserve"> </w:t>
      </w:r>
      <w:r>
        <w:t xml:space="preserve">be. Two of the three rules can be measured from behaviour instead.</w:t>
      </w:r>
    </w:p>
    <w:bookmarkStart w:id="14" w:name="X91934d4a1077619ec87e17e6510450742291233"/>
    <w:p>
      <w:pPr>
        <w:pStyle w:val="Heading3"/>
      </w:pPr>
      <w:r>
        <w:t xml:space="preserve">Carb ratio: 415, and the measurement is trustworthy</w:t>
      </w:r>
    </w:p>
    <w:p>
      <w:pPr>
        <w:pStyle w:val="FirstParagraph"/>
      </w:pPr>
      <w:r>
        <w:t xml:space="preserve">For a meal that was announced, dosed for, and left glucose where it started, the</w:t>
      </w:r>
      <w:r>
        <w:t xml:space="preserve"> </w:t>
      </w:r>
      <w:r>
        <w:t xml:space="preserve">ratio that person needed was the grams divided by the units. No insulin model, no</w:t>
      </w:r>
      <w:r>
        <w:t xml:space="preserve"> </w:t>
      </w:r>
      <w:r>
        <w:t xml:space="preserve">basal assumption, no settings file.</w:t>
      </w:r>
    </w:p>
    <w:p>
      <w:pPr>
        <w:pStyle w:val="BodyText"/>
      </w:pPr>
      <w:r>
        <w:t xml:space="preserve">Of 78,705 announced meals from 1,011 people, 23,596 ended within 20 mg/dL of their</w:t>
      </w:r>
      <w:r>
        <w:t xml:space="preserve"> </w:t>
      </w:r>
      <w:r>
        <w:t xml:space="preserve">starting glucose. Restricting to people with at least eight such meals gives 742.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Cohort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Carb ratio x dose</w:t>
            </w:r>
          </w:p>
        </w:tc>
        <w:tc>
          <w:tcPr/>
          <w:p>
            <w:pPr>
              <w:pStyle w:val="Compact"/>
            </w:pPr>
            <w:r>
              <w:t xml:space="preserve">95% interval</w:t>
            </w:r>
          </w:p>
        </w:tc>
        <w:tc>
          <w:tcPr/>
          <w:p>
            <w:pPr>
              <w:pStyle w:val="Compact"/>
            </w:pPr>
            <w:r>
              <w:t xml:space="preserve">Covers 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</w:t>
            </w:r>
          </w:p>
        </w:tc>
        <w:tc>
          <w:tcPr/>
          <w:p>
            <w:pPr>
              <w:pStyle w:val="Compact"/>
            </w:pPr>
            <w:r>
              <w:t xml:space="preserve">594</w:t>
            </w:r>
          </w:p>
        </w:tc>
        <w:tc>
          <w:tcPr/>
          <w:p>
            <w:pPr>
              <w:pStyle w:val="Compact"/>
            </w:pPr>
            <w:r>
              <w:t xml:space="preserve">418</w:t>
            </w:r>
          </w:p>
        </w:tc>
        <w:tc>
          <w:tcPr/>
          <w:p>
            <w:pPr>
              <w:pStyle w:val="Compact"/>
            </w:pPr>
            <w:r>
              <w:t xml:space="preserve">408 to 429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REPLACE-BG</w:t>
            </w:r>
          </w:p>
        </w:tc>
        <w:tc>
          <w:tcPr/>
          <w:p>
            <w:pPr>
              <w:pStyle w:val="Compact"/>
            </w:pPr>
            <w:r>
              <w:t xml:space="preserve">148</w:t>
            </w:r>
          </w:p>
        </w:tc>
        <w:tc>
          <w:tcPr/>
          <w:p>
            <w:pPr>
              <w:pStyle w:val="Compact"/>
            </w:pPr>
            <w:r>
              <w:t xml:space="preserve">390</w:t>
            </w:r>
          </w:p>
        </w:tc>
        <w:tc>
          <w:tcPr/>
          <w:p>
            <w:pPr>
              <w:pStyle w:val="Compact"/>
            </w:pPr>
            <w:r>
              <w:t xml:space="preserve">362 to 427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Everyone</w:t>
            </w:r>
          </w:p>
        </w:tc>
        <w:tc>
          <w:tcPr/>
          <w:p>
            <w:pPr>
              <w:pStyle w:val="Compact"/>
            </w:pPr>
            <w:r>
              <w:t xml:space="preserve">742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415</w:t>
            </w:r>
          </w:p>
        </w:tc>
        <w:tc>
          <w:tcPr/>
          <w:p>
            <w:pPr>
              <w:pStyle w:val="Compact"/>
            </w:pPr>
            <w:r>
              <w:t xml:space="preserve">405 to 425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The estimator passes its own honesty test. Across the 289 people who also have an</w:t>
      </w:r>
      <w:r>
        <w:t xml:space="preserve"> </w:t>
      </w:r>
      <w:r>
        <w:t xml:space="preserve">entered carb ratio, entered divided by measured is</w:t>
      </w:r>
      <w:r>
        <w:t xml:space="preserve"> </w:t>
      </w:r>
      <w:r>
        <w:rPr>
          <w:b/>
          <w:bCs/>
        </w:rPr>
        <w:t xml:space="preserve">1.02</w:t>
      </w:r>
      <w:r>
        <w:t xml:space="preserve">. So this measurement</w:t>
      </w:r>
      <w:r>
        <w:t xml:space="preserve"> </w:t>
      </w:r>
      <w:r>
        <w:t xml:space="preserve">carries no meaningful bias, and 415 is what the rule should be rather than what</w:t>
      </w:r>
      <w:r>
        <w:t xml:space="preserve"> </w:t>
      </w:r>
      <w:r>
        <w:t xml:space="preserve">people happen to have typed. It agrees with the entered figure of 409 because in</w:t>
      </w:r>
      <w:r>
        <w:t xml:space="preserve"> </w:t>
      </w:r>
      <w:r>
        <w:t xml:space="preserve">this case people have already found the right answer.</w:t>
      </w:r>
    </w:p>
    <w:bookmarkEnd w:id="14"/>
    <w:bookmarkStart w:id="15" w:name="X2992cbc64a0478eb57eaf69cc06192662f755d6"/>
    <w:p>
      <w:pPr>
        <w:pStyle w:val="Heading3"/>
      </w:pPr>
      <w:r>
        <w:t xml:space="preserve">Basal share: 0.51, but it belongs to the system rather than the person</w:t>
      </w:r>
    </w:p>
    <w:p>
      <w:pPr>
        <w:pStyle w:val="FirstParagraph"/>
      </w:pPr>
      <w:r>
        <w:t xml:space="preserve">Delivered basal over delivered total needs no model at all, so it covers the two</w:t>
      </w:r>
      <w:r>
        <w:t xml:space="preserve"> </w:t>
      </w:r>
      <w:r>
        <w:t xml:space="preserve">cohorts with no settings file. That is 438 people every table above omits.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Cohort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Basal share</w:t>
            </w:r>
          </w:p>
        </w:tc>
        <w:tc>
          <w:tcPr/>
          <w:p>
            <w:pPr>
              <w:pStyle w:val="Compact"/>
            </w:pPr>
            <w:r>
              <w:t xml:space="preserve">Covers 0.50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</w:t>
            </w:r>
          </w:p>
        </w:tc>
        <w:tc>
          <w:tcPr/>
          <w:p>
            <w:pPr>
              <w:pStyle w:val="Compact"/>
            </w:pPr>
            <w:r>
              <w:t xml:space="preserve">DIY loop</w:t>
            </w:r>
          </w:p>
        </w:tc>
        <w:tc>
          <w:tcPr/>
          <w:p>
            <w:pPr>
              <w:pStyle w:val="Compact"/>
            </w:pPr>
            <w:r>
              <w:t xml:space="preserve">830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REPLACE-BG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196</w:t>
            </w:r>
          </w:p>
        </w:tc>
        <w:tc>
          <w:tcPr/>
          <w:p>
            <w:pPr>
              <w:pStyle w:val="Compact"/>
            </w:pPr>
            <w:r>
              <w:t xml:space="preserve">0.51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DCLP3</w:t>
            </w:r>
          </w:p>
        </w:tc>
        <w:tc>
          <w:tcPr/>
          <w:p>
            <w:pPr>
              <w:pStyle w:val="Compact"/>
            </w:pPr>
            <w:r>
              <w:t xml:space="preserve">Control-IQ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0.48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DCLP5</w:t>
            </w:r>
          </w:p>
        </w:tc>
        <w:tc>
          <w:tcPr/>
          <w:p>
            <w:pPr>
              <w:pStyle w:val="Compact"/>
            </w:pPr>
            <w:r>
              <w:t xml:space="preserve">Control-IQ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0.46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PEDAP</w:t>
            </w:r>
          </w:p>
        </w:tc>
        <w:tc>
          <w:tcPr/>
          <w:p>
            <w:pPr>
              <w:pStyle w:val="Compact"/>
            </w:pPr>
            <w:r>
              <w:t xml:space="preserve">Control-IQ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0.41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IOBP2</w:t>
            </w:r>
          </w:p>
        </w:tc>
        <w:tc>
          <w:tcPr/>
          <w:p>
            <w:pPr>
              <w:pStyle w:val="Compact"/>
            </w:pPr>
            <w:r>
              <w:t xml:space="preserve">bionic pancreas</w:t>
            </w:r>
          </w:p>
        </w:tc>
        <w:tc>
          <w:tcPr/>
          <w:p>
            <w:pPr>
              <w:pStyle w:val="Compact"/>
            </w:pPr>
            <w:r>
              <w:t xml:space="preserve">326</w:t>
            </w:r>
          </w:p>
        </w:tc>
        <w:tc>
          <w:tcPr/>
          <w:p>
            <w:pPr>
              <w:pStyle w:val="Compact"/>
            </w:pPr>
            <w:r>
              <w:t xml:space="preserve">0.39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Everyone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1,659</w:t>
            </w:r>
          </w:p>
        </w:tc>
        <w:tc>
          <w:tcPr/>
          <w:p>
            <w:pPr>
              <w:pStyle w:val="Compact"/>
            </w:pPr>
            <w:r>
              <w:t xml:space="preserve">0.51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Restricting to adults removes age as the explanation and the pattern sharpens.</w:t>
      </w:r>
      <w:r>
        <w:t xml:space="preserve"> </w:t>
      </w:r>
      <w:r>
        <w:t xml:space="preserve">REPLACE-BG, where no algorithm is running, sits at 0.51 and Control-IQ at 0.50,</w:t>
      </w:r>
      <w:r>
        <w:t xml:space="preserve"> </w:t>
      </w:r>
      <w:r>
        <w:t xml:space="preserve">both on Walsh. The bionic pancreas delivers 0.40 and the do-it-yourself loop 0.63.</w:t>
      </w:r>
    </w:p>
    <w:p>
      <w:pPr>
        <w:pStyle w:val="BodyText"/>
      </w:pPr>
      <w:r>
        <w:t xml:space="preserve">So Walsh’s half describes what people programme when nothing is adjusting it, and</w:t>
      </w:r>
      <w:r>
        <w:t xml:space="preserve"> </w:t>
      </w:r>
      <w:r>
        <w:t xml:space="preserve">survives one automated system unchanged. The other two move it substantially, in</w:t>
      </w:r>
      <w:r>
        <w:t xml:space="preserve"> </w:t>
      </w:r>
      <w:r>
        <w:t xml:space="preserve">opposite directions, and that is a property of the algorithm rather than of the</w:t>
      </w:r>
      <w:r>
        <w:t xml:space="preserve"> </w:t>
      </w:r>
      <w:r>
        <w:t xml:space="preserve">person using it.</w:t>
      </w:r>
    </w:p>
    <w:bookmarkEnd w:id="15"/>
    <w:bookmarkStart w:id="16" w:name="X69535d5e943de946f19ba9aad4897151e6d6c6c"/>
    <w:p>
      <w:pPr>
        <w:pStyle w:val="Heading3"/>
      </w:pPr>
      <w:r>
        <w:t xml:space="preserve">Sensitivity: the level cannot be measured here</w:t>
      </w:r>
    </w:p>
    <w:p>
      <w:pPr>
        <w:pStyle w:val="FirstParagraph"/>
      </w:pPr>
      <w:r>
        <w:t xml:space="preserve">The third rule resists the same treatment, and INV-009 established why before this</w:t>
      </w:r>
      <w:r>
        <w:t xml:space="preserve"> </w:t>
      </w:r>
      <w:r>
        <w:t xml:space="preserve">analysis began. Fitting the overnight fall against insulin recovers the shape of a</w:t>
      </w:r>
      <w:r>
        <w:t xml:space="preserve"> </w:t>
      </w:r>
      <w:r>
        <w:t xml:space="preserve">person’s sensitivity and not its level, because insulin action is reconstructed</w:t>
      </w:r>
      <w:r>
        <w:t xml:space="preserve"> </w:t>
      </w:r>
      <w:r>
        <w:t xml:space="preserve">rather than observed, residual carbohydrate rides along with meal boluses, and a</w:t>
      </w:r>
      <w:r>
        <w:t xml:space="preserve"> </w:t>
      </w:r>
      <w:r>
        <w:t xml:space="preserve">loop delivers most insulin when glucose is refusing to move.</w:t>
      </w:r>
    </w:p>
    <w:p>
      <w:pPr>
        <w:pStyle w:val="BodyText"/>
      </w:pPr>
      <w:r>
        <w:t xml:space="preserve">The size of that is now measured. Against 394 people with both, the regression</w:t>
      </w:r>
      <w:r>
        <w:t xml:space="preserve"> </w:t>
      </w:r>
      <w:r>
        <w:t xml:space="preserve">reads 15% of a working sensitivity. A matched-correction estimator needing neither</w:t>
      </w:r>
      <w:r>
        <w:t xml:space="preserve"> </w:t>
      </w:r>
      <w:r>
        <w:t xml:space="preserve">settings nor a basal model disagrees, reading between 50% in the open-loop cohort</w:t>
      </w:r>
      <w:r>
        <w:t xml:space="preserve"> </w:t>
      </w:r>
      <w:r>
        <w:t xml:space="preserve">and 19% in the youngest, and an attenuation that tracks how reactive each</w:t>
      </w:r>
      <w:r>
        <w:t xml:space="preserve"> </w:t>
      </w:r>
      <w:r>
        <w:t xml:space="preserve">controller is rules out a single correction factor.</w:t>
      </w:r>
    </w:p>
    <w:p>
      <w:pPr>
        <w:pStyle w:val="BodyText"/>
      </w:pPr>
      <w:r>
        <w:t xml:space="preserve">One thing survives, because a common multiplier cannot change it. The measured</w:t>
      </w:r>
      <w:r>
        <w:t xml:space="preserve"> </w:t>
      </w:r>
      <w:r>
        <w:t xml:space="preserve">constant does not drift with daily dose: slope +0.106, interval -0.026 to +0.241.</w:t>
      </w:r>
      <w:r>
        <w:t xml:space="preserve"> </w:t>
      </w:r>
      <w:r>
        <w:t xml:space="preserve">A single sensitivity constant does fit across the dose range, which is the part of</w:t>
      </w:r>
      <w:r>
        <w:t xml:space="preserve"> </w:t>
      </w:r>
      <w:r>
        <w:t xml:space="preserve">Walsh’s claim this data can settle. What that constant equals, it cannot.</w:t>
      </w:r>
    </w:p>
    <w:p>
      <w:pPr>
        <w:pStyle w:val="BodyText"/>
      </w:pPr>
      <w:r>
        <w:t xml:space="preserve">Establishing the level would need a fixed correction, no carbohydrate, no</w:t>
      </w:r>
      <w:r>
        <w:t xml:space="preserve"> </w:t>
      </w:r>
      <w:r>
        <w:t xml:space="preserve">algorithm intervening, and glucose watched afterwards. REPLACE-BG is the only</w:t>
      </w:r>
      <w:r>
        <w:t xml:space="preserve"> </w:t>
      </w:r>
      <w:r>
        <w:t xml:space="preserve">cohort here with no algorithm.</w:t>
      </w:r>
    </w:p>
    <w:bookmarkEnd w:id="16"/>
    <w:bookmarkEnd w:id="17"/>
    <w:bookmarkStart w:id="18" w:name="what-to-do-with-this"/>
    <w:p>
      <w:pPr>
        <w:pStyle w:val="Heading2"/>
      </w:pPr>
      <w:r>
        <w:t xml:space="preserve">What to do with this</w:t>
      </w:r>
    </w:p>
    <w:p>
      <w:pPr>
        <w:pStyle w:val="FirstParagraph"/>
      </w:pPr>
      <w:r>
        <w:t xml:space="preserve">For an adult, the measured figure is 1915 divided by daily dose and the interval,</w:t>
      </w:r>
      <w:r>
        <w:t xml:space="preserve"> </w:t>
      </w:r>
      <w:r>
        <w:t xml:space="preserve">1828 to 1986, excludes 1700. Walsh survives only in the JAEB over-45s at 1766. So</w:t>
      </w:r>
      <w:r>
        <w:t xml:space="preserve"> </w:t>
      </w:r>
      <w:r>
        <w:t xml:space="preserve">1700 is a reasonable floor rather than the centre: it will read slightly strong for</w:t>
      </w:r>
      <w:r>
        <w:t xml:space="preserve"> </w:t>
      </w:r>
      <w:r>
        <w:t xml:space="preserve">most adults, which is the safer direction to be wrong in for a starting number, but</w:t>
      </w:r>
      <w:r>
        <w:t xml:space="preserve"> </w:t>
      </w:r>
      <w:r>
        <w:t xml:space="preserve">it should not be defended as the measured value. For a child it is too aggressive by</w:t>
      </w:r>
      <w:r>
        <w:t xml:space="preserve"> </w:t>
      </w:r>
      <w:r>
        <w:t xml:space="preserve">roughly a third, and the gap widens through the school-age years.</w:t>
      </w:r>
    </w:p>
    <w:p>
      <w:pPr>
        <w:pStyle w:val="BodyText"/>
      </w:pPr>
      <w:r>
        <w:t xml:space="preserve">The 500 rule should be about 415. That comes from measurement rather than from</w:t>
      </w:r>
      <w:r>
        <w:t xml:space="preserve"> </w:t>
      </w:r>
      <w:r>
        <w:t xml:space="preserve">settings and carries no detectable bias, so it is the firmest number in this</w:t>
      </w:r>
      <w:r>
        <w:t xml:space="preserve"> </w:t>
      </w:r>
      <w:r>
        <w:t xml:space="preserve">document.</w:t>
      </w:r>
    </w:p>
    <w:p>
      <w:pPr>
        <w:pStyle w:val="BodyText"/>
      </w:pPr>
      <w:r>
        <w:t xml:space="preserve">The half-of-daily-dose basal convention can stay for someone with no automation</w:t>
      </w:r>
      <w:r>
        <w:t xml:space="preserve"> </w:t>
      </w:r>
      <w:r>
        <w:t xml:space="preserve">and for Control-IQ. It does not describe what a do-it-yourself loop delivers, at</w:t>
      </w:r>
      <w:r>
        <w:t xml:space="preserve"> </w:t>
      </w:r>
      <w:r>
        <w:t xml:space="preserve">0.63 in adults, or a bionic pancreas at 0.40, and neither of those is a setting</w:t>
      </w:r>
      <w:r>
        <w:t xml:space="preserve"> </w:t>
      </w:r>
      <w:r>
        <w:t xml:space="preserve">anybody chose.</w:t>
      </w:r>
    </w:p>
    <w:p>
      <w:pPr>
        <w:pStyle w:val="BodyText"/>
      </w:pPr>
      <w:r>
        <w:t xml:space="preserve">None of these are settings to hold to. INV-009 measured the spread of what people</w:t>
      </w:r>
      <w:r>
        <w:t xml:space="preserve"> </w:t>
      </w:r>
      <w:r>
        <w:t xml:space="preserve">actually run against the rule at 0.68 to 2.07, so any constant is a starting point</w:t>
      </w:r>
      <w:r>
        <w:t xml:space="preserve"> </w:t>
      </w:r>
      <w:r>
        <w:t xml:space="preserve">that then needs individual adjustment, and a quarter of people end up beyond what</w:t>
      </w:r>
      <w:r>
        <w:t xml:space="preserve"> </w:t>
      </w:r>
      <w:r>
        <w:t xml:space="preserve">an automated system’s own adjustment range could reach from it.</w:t>
      </w:r>
    </w:p>
    <w:bookmarkEnd w:id="18"/>
    <w:bookmarkStart w:id="19" w:name="method"/>
    <w:p>
      <w:pPr>
        <w:pStyle w:val="Heading2"/>
      </w:pPr>
      <w:r>
        <w:t xml:space="preserve">Method</w:t>
      </w:r>
    </w:p>
    <w:p>
      <w:pPr>
        <w:pStyle w:val="FirstParagraph"/>
      </w:pPr>
      <w:r>
        <w:t xml:space="preserve">Settings are those people had entered, taken as a per-person median: from the</w:t>
      </w:r>
      <w:r>
        <w:t xml:space="preserve"> </w:t>
      </w:r>
      <w:r>
        <w:t xml:space="preserve">bolus calculator for Loop and REPLACE-BG, and from the case report forms for</w:t>
      </w:r>
      <w:r>
        <w:t xml:space="preserve"> </w:t>
      </w:r>
      <w:r>
        <w:t xml:space="preserve">DCLP5 and PEDAP. Daily dose is measured from each person’s own pump record over</w:t>
      </w:r>
      <w:r>
        <w:t xml:space="preserve"> </w:t>
      </w:r>
      <w:r>
        <w:t xml:space="preserve">days the pump was recording completely, requiring at least thirty. The OpenAPS</w:t>
      </w:r>
      <w:r>
        <w:t xml:space="preserve"> </w:t>
      </w:r>
      <w:r>
        <w:t xml:space="preserve">Commons figures are the May extraction unchanged.</w:t>
      </w:r>
    </w:p>
    <w:p>
      <w:pPr>
        <w:pStyle w:val="BodyText"/>
      </w:pPr>
      <w:r>
        <w:t xml:space="preserve">Intervals are percentile bootstrap over people, 4,000 resamples. Slopes are least</w:t>
      </w:r>
      <w:r>
        <w:t xml:space="preserve"> </w:t>
      </w:r>
      <w:r>
        <w:t xml:space="preserve">squares on the logarithms with 1,500 bootstrap resamples.</w:t>
      </w:r>
    </w:p>
    <w:p>
      <w:pPr>
        <w:pStyle w:val="BodyText"/>
      </w:pPr>
      <w:r>
        <w:t xml:space="preserve">Basal share is the programmed share where a study records a schedule and the</w:t>
      </w:r>
      <w:r>
        <w:t xml:space="preserve"> </w:t>
      </w:r>
      <w:r>
        <w:t xml:space="preserve">delivered share otherwise, and the two are labelled separately in the machine</w:t>
      </w:r>
      <w:r>
        <w:t xml:space="preserve"> </w:t>
      </w:r>
      <w:r>
        <w:t xml:space="preserve">readable output because they are not the same quantity.</w:t>
      </w:r>
    </w:p>
    <w:p>
      <w:pPr>
        <w:pStyle w:val="BodyText"/>
      </w:pPr>
      <w:r>
        <w:t xml:space="preserve">Measured carb ratio takes announced meals of at least 20 g with a dose within 20</w:t>
      </w:r>
      <w:r>
        <w:t xml:space="preserve"> </w:t>
      </w:r>
      <w:r>
        <w:t xml:space="preserve">minutes, no other carbohydrate for four hours before or five hours after, and no</w:t>
      </w:r>
      <w:r>
        <w:t xml:space="preserve"> </w:t>
      </w:r>
      <w:r>
        <w:t xml:space="preserve">further insulin during, keeping those that ended within 20 mg/dL of their starting</w:t>
      </w:r>
      <w:r>
        <w:t xml:space="preserve"> </w:t>
      </w:r>
      <w:r>
        <w:t xml:space="preserve">glucose. Meals that did not end neutral are excluded rather than corrected.</w:t>
      </w:r>
    </w:p>
    <w:p>
      <w:pPr>
        <w:pStyle w:val="BodyText"/>
      </w:pPr>
      <w:r>
        <w:t xml:space="preserve">Code is</w:t>
      </w:r>
      <w:r>
        <w:t xml:space="preserve"> </w:t>
      </w:r>
      <w:r>
        <w:rPr>
          <w:rStyle w:val="VerbatimChar"/>
        </w:rPr>
        <w:t xml:space="preserve">inv009/walsh_constants.py</w:t>
      </w:r>
      <w:r>
        <w:t xml:space="preserve"> </w:t>
      </w:r>
      <w:r>
        <w:t xml:space="preserve">for the entered figures and</w:t>
      </w:r>
      <w:r>
        <w:t xml:space="preserve"> </w:t>
      </w:r>
      <w:r>
        <w:rPr>
          <w:rStyle w:val="VerbatimChar"/>
        </w:rPr>
        <w:t xml:space="preserve">inv009/measured_basal_cr.py</w:t>
      </w:r>
      <w:r>
        <w:t xml:space="preserve"> </w:t>
      </w:r>
      <w:r>
        <w:t xml:space="preserve">for the measured ones;</w:t>
      </w:r>
      <w:r>
        <w:t xml:space="preserve"> </w:t>
      </w:r>
      <w:r>
        <w:rPr>
          <w:rStyle w:val="VerbatimChar"/>
        </w:rPr>
        <w:t xml:space="preserve">inv009/measured_constant.py</w:t>
      </w:r>
      <w:r>
        <w:t xml:space="preserve"> </w:t>
      </w:r>
      <w:r>
        <w:t xml:space="preserve">holds the sensitivity attempt and documents why its level is not reported.</w:t>
      </w:r>
      <w:r>
        <w:t xml:space="preserve"> </w:t>
      </w:r>
      <w:r>
        <w:t xml:space="preserve">Results are in</w:t>
      </w:r>
      <w:r>
        <w:t xml:space="preserve"> </w:t>
      </w:r>
      <w:r>
        <w:rPr>
          <w:rStyle w:val="VerbatimChar"/>
        </w:rPr>
        <w:t xml:space="preserve">results/inv009_walsh_by_cohort.parquet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results/inv009_measured_basal_cr.json</w:t>
      </w:r>
      <w:r>
        <w:t xml:space="preserve"> </w:t>
      </w:r>
      <w:r>
        <w:t xml:space="preserve">and their companions.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Updated constants from data analysis</dc:title>
  <dc:creator>Tim Street</dc:creator>
  <cp:keywords/>
  <dcterms:created xsi:type="dcterms:W3CDTF">2026-08-26T08:55:51Z</dcterms:created>
  <dcterms:modified xsi:type="dcterms:W3CDTF">2026-08-26T08:55:51Z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26 August 2026</vt:lpwstr>
  </property>
  <property fmtid="{D5CDD505-2E9C-101B-9397-08002B2CF9AE}" pid="3" name="subtitle">
    <vt:lpwstr>The three Walsh rules recomputed across 719 people in seven cohorts</vt:lpwstr>
  </property>
</Properties>
</file>