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d99a5ce8b083759beec96d22e5eeca6e15a4c3"/>
    <w:p>
      <w:pPr>
        <w:pStyle w:val="Heading1"/>
      </w:pPr>
      <w:r>
        <w:t xml:space="preserve">Dynamic ISF from total daily dose — evaluation methodology</w:t>
      </w:r>
    </w:p>
    <w:p>
      <w:pPr>
        <w:pStyle w:val="FirstParagraph"/>
      </w:pPr>
      <w:r>
        <w:rPr>
          <w:b/>
          <w:bCs/>
        </w:rPr>
        <w:t xml:space="preserve">2026-06-07</w:t>
      </w:r>
      <w:r>
        <w:t xml:space="preserve"> </w:t>
      </w:r>
      <w:r>
        <w:t xml:space="preserve">· Tim Street / Claude</w:t>
      </w:r>
    </w:p>
    <w:p>
      <w:pPr>
        <w:pStyle w:val="BlockText"/>
      </w:pPr>
      <w:r>
        <w:t xml:space="preserve">Audit update, 16 September 2026: V2 is the author-confirmed no-</w:t>
      </w:r>
      <w:r>
        <w:rPr>
          <w:rStyle w:val="VerbatimChar"/>
        </w:rPr>
        <w:t xml:space="preserve">+1</w:t>
      </w:r>
      <w:r>
        <w:t xml:space="preserve"> </w:t>
      </w:r>
      <w:r>
        <w:t xml:space="preserve">equation. The Python</w:t>
      </w:r>
      <w:r>
        <w:t xml:space="preserve"> </w:t>
      </w:r>
      <w:r>
        <w:t xml:space="preserve">replay used that form. The delta-IOB and action-balance estimators are outcome proxies rather</w:t>
      </w:r>
      <w:r>
        <w:t xml:space="preserve"> </w:t>
      </w:r>
      <w:r>
        <w:t xml:space="preserve">than independent physiological ISF measurements. Conclusions relying on them as ground truth</w:t>
      </w:r>
      <w:r>
        <w:t xml:space="preserve"> </w:t>
      </w:r>
      <w:r>
        <w:t xml:space="preserve">are withdrawn. See</w:t>
      </w:r>
      <w:r>
        <w:t xml:space="preserve"> </w:t>
      </w:r>
      <w:r>
        <w:rPr>
          <w:rStyle w:val="VerbatimChar"/>
        </w:rPr>
        <w:t xml:space="preserve">DYNAMIC-ISF-AUDIT-2026-09.md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describes a reproducible computational method for evaluating equations that set</w:t>
      </w:r>
      <w:r>
        <w:t xml:space="preserve"> </w:t>
      </w:r>
      <w:r>
        <w:t xml:space="preserve">a dynamic insulin sensitivity factor (ISF) as a function of total daily dose (TDD). The</w:t>
      </w:r>
      <w:r>
        <w:t xml:space="preserve"> </w:t>
      </w:r>
      <w:r>
        <w:t xml:space="preserve">method (1) implements each candidate equation exactly, with a unit-test contract; (2)</w:t>
      </w:r>
      <w:r>
        <w:t xml:space="preserve"> </w:t>
      </w:r>
      <w:r>
        <w:t xml:space="preserve">reconstructs, from each person's available insulin-delivery history, the closest available TDD</w:t>
      </w:r>
      <w:r>
        <w:t xml:space="preserve"> </w:t>
      </w:r>
      <w:r>
        <w:t xml:space="preserve">signal to the one the equations consume; (3) replays every glucose reading through each equation to generate</w:t>
      </w:r>
      <w:r>
        <w:t xml:space="preserve"> </w:t>
      </w:r>
      <w:r>
        <w:t xml:space="preserve">the ISF it would produce; (4) compares the resulting ISF distributions between equations;</w:t>
      </w:r>
      <w:r>
        <w:t xml:space="preserve"> </w:t>
      </w:r>
      <w:r>
        <w:t xml:space="preserve">(5) searches a family of candidate equations against a delta-IOB outcome proxy using</w:t>
      </w:r>
      <w:r>
        <w:t xml:space="preserve"> </w:t>
      </w:r>
      <w:r>
        <w:t xml:space="preserve">leave-one-user-out cross-validation; and (6) validates the equation</w:t>
      </w:r>
      <w:r>
        <w:t xml:space="preserve"> </w:t>
      </w:r>
      <w:r>
        <w:t xml:space="preserve">implementations against ISF values that devices themselves logged. We applied it to 171</w:t>
      </w:r>
      <w:r>
        <w:t xml:space="preserve"> </w:t>
      </w:r>
      <w:r>
        <w:t xml:space="preserve">people using open-source automated insulin delivery (AID) systems and roughly 9 million</w:t>
      </w:r>
      <w:r>
        <w:t xml:space="preserve"> </w:t>
      </w:r>
      <w:r>
        <w:t xml:space="preserve">glucose readings. This paper documents each step, the script that performs it, and the</w:t>
      </w:r>
      <w:r>
        <w:t xml:space="preserve"> </w:t>
      </w:r>
      <w:r>
        <w:t xml:space="preserve">reasoning that connects the outputs to the conclusions.</w:t>
      </w:r>
    </w:p>
    <w:p>
      <w:r>
        <w:pict>
          <v:rect style="width:0;height:1.5pt" o:hralign="center" o:hrstd="t" o:hr="t"/>
        </w:pict>
      </w:r>
    </w:p>
    <w:bookmarkEnd w:id="9"/>
    <w:bookmarkStart w:id="10" w:name="X820db653d11869098dea7039a134ed11a621824"/>
    <w:p>
      <w:pPr>
        <w:pStyle w:val="Heading2"/>
      </w:pPr>
      <w:r>
        <w:t xml:space="preserve">1. Background and objective</w:t>
      </w:r>
    </w:p>
    <w:p>
      <w:pPr>
        <w:pStyle w:val="FirstParagraph"/>
      </w:pPr>
      <w:r>
        <w:t xml:space="preserve">Dynamic ISF makes a person's correction sensitivity a function of two things: their total</w:t>
      </w:r>
      <w:r>
        <w:t xml:space="preserve"> </w:t>
      </w:r>
      <w:r>
        <w:t xml:space="preserve">daily dose of insulin, and their current glucose. The original formulation, due to Chris</w:t>
      </w:r>
      <w:r>
        <w:t xml:space="preserve"> </w:t>
      </w:r>
      <w:r>
        <w:t xml:space="preserve">Wilson, sets the sensitivity anchor in inverse proportion to TDD (the classic "1800 rule"</w:t>
      </w:r>
      <w:r>
        <w:t xml:space="preserve"> </w:t>
      </w:r>
      <w:r>
        <w:t xml:space="preserve">shape) and then scales it logarithmically with glucose. We refer to this as</w:t>
      </w:r>
      <w:r>
        <w:t xml:space="preserve"> </w:t>
      </w:r>
      <w:r>
        <w:rPr>
          <w:b/>
          <w:bCs/>
        </w:rPr>
        <w:t xml:space="preserve">v1</w:t>
      </w:r>
      <w:r>
        <w:t xml:space="preserve">. A</w:t>
      </w:r>
      <w:r>
        <w:t xml:space="preserve"> </w:t>
      </w:r>
      <w:r>
        <w:t xml:space="preserve">later revision of the maths, also by Chris Wilson, makes the anchor inversely proportional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TDD squared</w:t>
      </w:r>
      <w:r>
        <w:t xml:space="preserve">. We refer to this as</w:t>
      </w:r>
      <w:r>
        <w:t xml:space="preserve"> </w:t>
      </w:r>
      <w:r>
        <w:rPr>
          <w:b/>
          <w:bCs/>
        </w:rPr>
        <w:t xml:space="preserve">v2</w:t>
      </w:r>
      <w:r>
        <w:t xml:space="preserve">.</w:t>
      </w:r>
    </w:p>
    <w:p>
      <w:pPr>
        <w:pStyle w:val="BodyText"/>
      </w:pPr>
      <w:r>
        <w:t xml:space="preserve">Both forms share the same TDD-blending step but differ on two counts: how strongly TDD drives</w:t>
      </w:r>
      <w:r>
        <w:t xml:space="preserve"> </w:t>
      </w:r>
      <w:r>
        <w:t xml:space="preserve">the sensitivity anchor (1/TDD against 1/TDD²), and the glucose scaler, where v1 keeps a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in</w:t>
      </w:r>
      <w:r>
        <w:t xml:space="preserve"> </w:t>
      </w:r>
      <w:r>
        <w:t xml:space="preserve">its log and v2 does not. The questions this method answers:</w:t>
      </w:r>
    </w:p>
    <w:p>
      <w:pPr>
        <w:pStyle w:val="Compact"/>
        <w:numPr>
          <w:ilvl w:val="0"/>
          <w:numId w:val="1001"/>
        </w:numPr>
      </w:pPr>
      <w:r>
        <w:t xml:space="preserve">How differently do v1 and v2 dose, across a real population, as a function of TDD?</w:t>
      </w:r>
    </w:p>
    <w:p>
      <w:pPr>
        <w:pStyle w:val="Compact"/>
        <w:numPr>
          <w:ilvl w:val="0"/>
          <w:numId w:val="1001"/>
        </w:numPr>
      </w:pPr>
      <w:r>
        <w:t xml:space="preserve">How does either TDD power law compare with entered ISF and a delta-IOB outcome proxy?</w:t>
      </w:r>
    </w:p>
    <w:p>
      <w:pPr>
        <w:pStyle w:val="Compact"/>
        <w:numPr>
          <w:ilvl w:val="0"/>
          <w:numId w:val="1001"/>
        </w:numPr>
      </w:pPr>
      <w:r>
        <w:t xml:space="preserve">Is there a better-fitting equation among a wider candidate family?</w:t>
      </w:r>
    </w:p>
    <w:p>
      <w:pPr>
        <w:pStyle w:val="FirstParagraph"/>
      </w:pPr>
      <w:r>
        <w:t xml:space="preserve">The focus is the between-person sensitivity anchor as a function of TDD, since that is where</w:t>
      </w:r>
      <w:r>
        <w:t xml:space="preserve"> </w:t>
      </w:r>
      <w:r>
        <w:t xml:space="preserve">the equations diverge most. The glucose-scaler</w:t>
      </w:r>
      <w:r>
        <w:t xml:space="preserve"> </w:t>
      </w:r>
      <w:r>
        <w:t xml:space="preserve">difference is carried through the replay rather than assumed away. This is a retrospective,</w:t>
      </w:r>
      <w:r>
        <w:t xml:space="preserve"> </w:t>
      </w:r>
      <w:r>
        <w:t xml:space="preserve">decision-level analysis of the equations, not a closed-loop outcome study, and it provides no</w:t>
      </w:r>
      <w:r>
        <w:t xml:space="preserve"> </w:t>
      </w:r>
      <w:r>
        <w:t xml:space="preserve">dosing advice.</w:t>
      </w:r>
    </w:p>
    <w:p>
      <w:r>
        <w:pict>
          <v:rect style="width:0;height:1.5pt" o:hralign="center" o:hrstd="t" o:hr="t"/>
        </w:pict>
      </w:r>
    </w:p>
    <w:bookmarkEnd w:id="10"/>
    <w:bookmarkStart w:id="11" w:name="X716730d9d55c7172f92bb34cc9dea7a165ab68b"/>
    <w:p>
      <w:pPr>
        <w:pStyle w:val="Heading2"/>
      </w:pPr>
      <w:r>
        <w:t xml:space="preserve">2. The equations</w:t>
      </w:r>
    </w:p>
    <w:p>
      <w:pPr>
        <w:pStyle w:val="FirstParagraph"/>
      </w:pPr>
      <w:r>
        <w:t xml:space="preserve">Both v1 and v2 first derive a blended TDD, then a sensitivity anchor at "normal target",</w:t>
      </w:r>
      <w:r>
        <w:t xml:space="preserve"> </w:t>
      </w:r>
      <w:r>
        <w:t xml:space="preserve">then scale it by current glucose.</w:t>
      </w:r>
    </w:p>
    <w:p>
      <w:pPr>
        <w:pStyle w:val="BodyText"/>
      </w:pPr>
      <w:r>
        <w:rPr>
          <w:b/>
          <w:bCs/>
        </w:rPr>
        <w:t xml:space="preserve">TDD blend</w:t>
      </w:r>
      <w:r>
        <w:t xml:space="preserve"> </w:t>
      </w:r>
      <w:r>
        <w:t xml:space="preserve">(shared). From five windows of recorded delivery:</w:t>
      </w:r>
    </w:p>
    <w:p>
      <w:pPr>
        <w:pStyle w:val="SourceCode"/>
      </w:pPr>
      <w:r>
        <w:rPr>
          <w:rStyle w:val="VerbatimChar"/>
        </w:rPr>
        <w:t xml:space="preserve">W8H = (1.4·TDD_4h + 0.6·TDD_8-4h) · 3</w:t>
      </w:r>
      <w:r>
        <w:br/>
      </w:r>
      <w:r>
        <w:rPr>
          <w:rStyle w:val="VerbatimChar"/>
        </w:rPr>
        <w:t xml:space="preserve">if W8H &lt; 0.75·TDD_7d:</w:t>
      </w:r>
      <w:r>
        <w:br/>
      </w:r>
      <w:r>
        <w:rPr>
          <w:rStyle w:val="VerbatimChar"/>
        </w:rPr>
        <w:t xml:space="preserve">    adj7D = W8H + (W8H/TDD_7d)·(TDD_7d − W8H)</w:t>
      </w:r>
      <w:r>
        <w:br/>
      </w:r>
      <w:r>
        <w:rPr>
          <w:rStyle w:val="VerbatimChar"/>
        </w:rPr>
        <w:t xml:space="preserve">    TDD   = 0.34·adj7D + 0.33·TDD_1d + 0.33·W8H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TDD   = 0.33·W8H + 0.34·TDD_7d + 0.33·TDD_1d</w:t>
      </w:r>
    </w:p>
    <w:p>
      <w:pPr>
        <w:pStyle w:val="FirstParagraph"/>
      </w:pPr>
      <w:r>
        <w:rPr>
          <w:b/>
          <w:bCs/>
        </w:rPr>
        <w:t xml:space="preserve">Glucose scaling.</w:t>
      </w:r>
      <w:r>
        <w:t xml:space="preserve"> </w:t>
      </w:r>
      <w:r>
        <w:t xml:space="preserve">With glucose capped at 210 mg/dL (excess at one-third weight),</w:t>
      </w:r>
      <w:r>
        <w:t xml:space="preserve"> </w:t>
      </w:r>
      <w:r>
        <w:t xml:space="preserve">divisor 75 (the standard rapid-acting configuration, including NovoRapid), normal target</w:t>
      </w:r>
      <w:r>
        <w:t xml:space="preserve"> </w:t>
      </w:r>
      <w:r>
        <w:t xml:space="preserve">99 mg/dL. v1 keeps the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in the log; v2 uses</w:t>
      </w:r>
      <w:r>
        <w:t xml:space="preserve"> </w:t>
      </w:r>
      <w:r>
        <w:rPr>
          <w:rStyle w:val="VerbatimChar"/>
        </w:rPr>
        <w:t xml:space="preserve">ln(BG/divisor)</w:t>
      </w:r>
      <w:r>
        <w:t xml:space="preserve"> </w:t>
      </w:r>
      <w:r>
        <w:t xml:space="preserve">(no +1) and floors glucose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divisor+1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v1 scaler:           ln(target/divisor + 1) / ln(bg_capped/divisor + 1)</w:t>
      </w:r>
      <w:r>
        <w:br/>
      </w:r>
      <w:r>
        <w:rPr>
          <w:rStyle w:val="VerbatimChar"/>
        </w:rPr>
        <w:t xml:space="preserve">v2 scaler:         ln(target/divisor)     / ln(bg_floored/divisor)     bg_floored = max(bg_capped, 76)</w:t>
      </w:r>
    </w:p>
    <w:p>
      <w:pPr>
        <w:pStyle w:val="FirstParagraph"/>
      </w:pPr>
      <w:r>
        <w:rPr>
          <w:b/>
          <w:bCs/>
        </w:rPr>
        <w:t xml:space="preserve">Sensitivity anchor: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anchor at normal target</w:t>
            </w:r>
          </w:p>
        </w:tc>
        <w:tc>
          <w:tcPr/>
          <w:p>
            <w:pPr>
              <w:pStyle w:val="Compact"/>
            </w:pPr>
            <w:r>
              <w:t xml:space="preserve">implied TDD 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1800 / (TDD · ln(target/divisor + 1))</w:t>
            </w:r>
          </w:p>
        </w:tc>
        <w:tc>
          <w:tcPr/>
          <w:p>
            <w:pPr>
              <w:pStyle w:val="Compact"/>
            </w:pPr>
            <w:r>
              <w:t xml:space="preserve">ISF ∝ 1/TDD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2300 / (ln(target/divisor) · TDD² · 0.02)</w:t>
            </w:r>
          </w:p>
        </w:tc>
        <w:tc>
          <w:tcPr/>
          <w:p>
            <w:pPr>
              <w:pStyle w:val="Compact"/>
            </w:pPr>
            <w:r>
              <w:t xml:space="preserve">ISF ∝ 1/TDD²</w:t>
            </w:r>
          </w:p>
        </w:tc>
      </w:tr>
    </w:tbl>
    <w:p>
      <w:pPr>
        <w:pStyle w:val="BodyText"/>
      </w:pPr>
      <w:r>
        <w:t xml:space="preserve">The ISF used at any glucose is</w:t>
      </w:r>
      <w:r>
        <w:t xml:space="preserve"> </w:t>
      </w:r>
      <w:r>
        <w:rPr>
          <w:rStyle w:val="VerbatimChar"/>
        </w:rPr>
        <w:t xml:space="preserve">anchor · scaler</w:t>
      </w:r>
      <w:r>
        <w:t xml:space="preserve">. In long form:</w:t>
      </w:r>
    </w:p>
    <w:p>
      <w:pPr>
        <w:pStyle w:val="SourceCode"/>
      </w:pPr>
      <w:r>
        <w:rPr>
          <w:rStyle w:val="VerbatimChar"/>
        </w:rPr>
        <w:t xml:space="preserve">v1:           ISF(BG) = 1800    / ( TDD  · ln(bg_capped/75 + 1) )</w:t>
      </w:r>
      <w:r>
        <w:br/>
      </w:r>
      <w:r>
        <w:rPr>
          <w:rStyle w:val="VerbatimChar"/>
        </w:rPr>
        <w:t xml:space="preserve">v2:           ISF(BG) = 115 000 / ( TDD² · ln(bg_floored/75) )</w:t>
      </w:r>
    </w:p>
    <w:p>
      <w:pPr>
        <w:pStyle w:val="FirstParagraph"/>
      </w:pPr>
      <w:r>
        <w:t xml:space="preserve">Because v1 uses</w:t>
      </w:r>
      <w:r>
        <w:t xml:space="preserve"> </w:t>
      </w:r>
      <w:r>
        <w:rPr>
          <w:rStyle w:val="VerbatimChar"/>
        </w:rPr>
        <w:t xml:space="preserve">ln(BG/divisor+1)</w:t>
      </w:r>
      <w:r>
        <w:t xml:space="preserve"> </w:t>
      </w:r>
      <w:r>
        <w:t xml:space="preserve">and v2 uses</w:t>
      </w:r>
      <w:r>
        <w:t xml:space="preserve"> </w:t>
      </w:r>
      <w:r>
        <w:rPr>
          <w:rStyle w:val="VerbatimChar"/>
        </w:rPr>
        <w:t xml:space="preserve">ln(BG/divisor)</w:t>
      </w:r>
      <w:r>
        <w:t xml:space="preserve">, the glucose terms differ, so</w:t>
      </w:r>
      <w:r>
        <w:t xml:space="preserve"> </w:t>
      </w:r>
      <w:r>
        <w:t xml:space="preserve">the ratio between the two equations changes with glucose as well as TDD:</w:t>
      </w:r>
    </w:p>
    <w:p>
      <w:pPr>
        <w:pStyle w:val="SourceCode"/>
      </w:pPr>
      <w:r>
        <w:rPr>
          <w:rStyle w:val="VerbatimChar"/>
        </w:rPr>
        <w:t xml:space="preserve">ISF_v2 / ISF_v1  ∝  (1 / TDD) · ln(BG/75 + 1) / ln(BG_floored/75)</w:t>
      </w:r>
    </w:p>
    <w:p>
      <w:pPr>
        <w:pStyle w:val="FirstParagraph"/>
      </w:pPr>
      <w:r>
        <w:t xml:space="preserve">That ratio grows large at low glucose, where the v2 log approaches its floor, and falls toward</w:t>
      </w:r>
      <w:r>
        <w:t xml:space="preserve"> </w:t>
      </w:r>
      <w:r>
        <w:t xml:space="preserve">a small margin when glucose is high. The method therefore replays both axes, reconstructed TDD</w:t>
      </w:r>
      <w:r>
        <w:t xml:space="preserve"> </w:t>
      </w:r>
      <w:r>
        <w:t xml:space="preserve">and glucose, for every reading rather than relying on a single closed form.</w:t>
      </w:r>
    </w:p>
    <w:p>
      <w:r>
        <w:pict>
          <v:rect style="width:0;height:1.5pt" o:hralign="center" o:hrstd="t" o:hr="t"/>
        </w:pict>
      </w:r>
    </w:p>
    <w:bookmarkEnd w:id="11"/>
    <w:bookmarkStart w:id="12" w:name="Xa4a607868853ebc35e59d07afbb29367d79cca2"/>
    <w:p>
      <w:pPr>
        <w:pStyle w:val="Heading2"/>
      </w:pPr>
      <w:r>
        <w:t xml:space="preserve">3. Data</w:t>
      </w:r>
    </w:p>
    <w:p>
      <w:pPr>
        <w:pStyle w:val="FirstParagraph"/>
      </w:pPr>
      <w:r>
        <w:t xml:space="preserve">Three anonymised cohorts of open-source AID users, held in a local time-series database: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Readings</w:t>
            </w:r>
          </w:p>
        </w:tc>
        <w:tc>
          <w:tcPr/>
          <w:p>
            <w:pPr>
              <w:pStyle w:val="Compact"/>
            </w:pPr>
            <w:r>
              <w:t xml:space="preserve">TDD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Trio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3.03 M</w:t>
            </w:r>
          </w:p>
        </w:tc>
        <w:tc>
          <w:tcPr/>
          <w:p>
            <w:pPr>
              <w:pStyle w:val="Compact"/>
            </w:pPr>
            <w:r>
              <w:t xml:space="preserve">device-logged TDD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AAPS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1.31 M</w:t>
            </w:r>
          </w:p>
        </w:tc>
        <w:tc>
          <w:tcPr/>
          <w:p>
            <w:pPr>
              <w:pStyle w:val="Compact"/>
            </w:pPr>
            <w:r>
              <w:t xml:space="preserve">reconstructed from treatments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OpenAPS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6.58 M</w:t>
            </w:r>
          </w:p>
        </w:tc>
        <w:tc>
          <w:tcPr/>
          <w:p>
            <w:pPr>
              <w:pStyle w:val="Compact"/>
            </w:pPr>
            <w:r>
              <w:t xml:space="preserve">reconstructed from treatments</w:t>
            </w:r>
          </w:p>
        </w:tc>
      </w:tr>
    </w:tbl>
    <w:p>
      <w:pPr>
        <w:pStyle w:val="BodyText"/>
      </w:pPr>
      <w:r>
        <w:t xml:space="preserve">Each row is one 5-minute decision cycle carrying the glucose reading, the hour of day, and</w:t>
      </w:r>
      <w:r>
        <w:t xml:space="preserve"> </w:t>
      </w:r>
      <w:r>
        <w:t xml:space="preserve">an anonymised relative timestamp (seconds since that person's first record). Raw delivery</w:t>
      </w:r>
      <w:r>
        <w:t xml:space="preserve"> </w:t>
      </w:r>
      <w:r>
        <w:t xml:space="preserve">and profile archives (boluses, temp basals, basal schedules) remain on disk for the TDD</w:t>
      </w:r>
      <w:r>
        <w:t xml:space="preserve"> </w:t>
      </w:r>
      <w:r>
        <w:t xml:space="preserve">reconstruction. No participant-level data is published; only cohort-level aggregates and</w:t>
      </w:r>
      <w:r>
        <w:t xml:space="preserve"> </w:t>
      </w:r>
      <w:r>
        <w:t xml:space="preserve">figures are released.</w:t>
      </w:r>
    </w:p>
    <w:p>
      <w:r>
        <w:pict>
          <v:rect style="width:0;height:1.5pt" o:hralign="center" o:hrstd="t" o:hr="t"/>
        </w:pict>
      </w:r>
    </w:p>
    <w:bookmarkEnd w:id="12"/>
    <w:bookmarkStart w:id="19" w:name="X076c4e9b84df50dbfde24bfbbbe1ece2be9d654"/>
    <w:p>
      <w:pPr>
        <w:pStyle w:val="Heading2"/>
      </w:pPr>
      <w:r>
        <w:t xml:space="preserve">4. Method, step by step</w:t>
      </w:r>
    </w:p>
    <w:p>
      <w:pPr>
        <w:pStyle w:val="FirstParagraph"/>
      </w:pPr>
      <w:r>
        <w:t xml:space="preserve">The pipeline is a Python package run in three stages plus two analyses. It is parallelised</w:t>
      </w:r>
      <w:r>
        <w:t xml:space="preserve"> </w:t>
      </w:r>
      <w:r>
        <w:t xml:space="preserve">per person (one person = one task), resumable, with atomic per-person outputs and</w:t>
      </w:r>
      <w:r>
        <w:t xml:space="preserve"> </w:t>
      </w:r>
      <w:r>
        <w:t xml:space="preserve">timestamped run manifests, and completes end to end in under ten minutes on a desktop</w:t>
      </w:r>
      <w:r>
        <w:t xml:space="preserve"> </w:t>
      </w:r>
      <w:r>
        <w:t xml:space="preserve">workstation.</w:t>
      </w:r>
    </w:p>
    <w:bookmarkStart w:id="13" w:name="X1ac454a48dff5fd37f0e0e2e488e1b1bd102605"/>
    <w:p>
      <w:pPr>
        <w:pStyle w:val="Heading3"/>
      </w:pPr>
      <w:r>
        <w:t xml:space="preserve">4.1 Equation implementation and its test contract</w:t>
      </w:r>
    </w:p>
    <w:p>
      <w:pPr>
        <w:pStyle w:val="FirstParagraph"/>
      </w:pPr>
      <w:r>
        <w:t xml:space="preserve">The v1 and v2 equations and the TDD blend are implemented as vectorised array operations,</w:t>
      </w:r>
      <w:r>
        <w:t xml:space="preserve"> </w:t>
      </w:r>
      <w:r>
        <w:t xml:space="preserve">preserving every constant, the glucose cap, and the blend's branch logic. Correctness is</w:t>
      </w:r>
      <w:r>
        <w:t xml:space="preserve"> </w:t>
      </w:r>
      <w:r>
        <w:t xml:space="preserve">fixed by 27 unit tests against hand-computed fixtures: the v2 glucose floor, the</w:t>
      </w:r>
      <w:r>
        <w:t xml:space="preserve"> </w:t>
      </w:r>
      <w:r>
        <w:t xml:space="preserve">glucose-dependent v1/v2 ratio, the glucose-cap compression, both branches of the TDD blend,</w:t>
      </w:r>
      <w:r>
        <w:t xml:space="preserve"> </w:t>
      </w:r>
      <w:r>
        <w:t xml:space="preserve">and the missing-data gates. Every downstream conclusion rests on these being exactly the</w:t>
      </w:r>
      <w:r>
        <w:t xml:space="preserve"> </w:t>
      </w:r>
      <w:r>
        <w:t xml:space="preserve">equations as defined, and the tests are the contract that guarantees it.</w:t>
      </w:r>
    </w:p>
    <w:bookmarkEnd w:id="13"/>
    <w:bookmarkStart w:id="14" w:name="Xe522fe030b21f60764f3f161266801abb7f4507"/>
    <w:p>
      <w:pPr>
        <w:pStyle w:val="Heading3"/>
      </w:pPr>
      <w:r>
        <w:t xml:space="preserve">4.2 TDD reconstruction</w:t>
      </w:r>
    </w:p>
    <w:p>
      <w:pPr>
        <w:pStyle w:val="FirstParagraph"/>
      </w:pPr>
      <w:r>
        <w:t xml:space="preserve">Where the device did not log TDD, we rebuild the five windows the blend consumes from raw</w:t>
      </w:r>
      <w:r>
        <w:t xml:space="preserve"> </w:t>
      </w:r>
      <w:r>
        <w:t xml:space="preserve">delivery records: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Parse delivery events:</w:t>
      </w:r>
      <w:r>
        <w:t xml:space="preserve"> </w:t>
      </w:r>
      <w:r>
        <w:t xml:space="preserve">boluses (any record carrying insulin) and temp-basal</w:t>
      </w:r>
      <w:r>
        <w:t xml:space="preserve"> </w:t>
      </w:r>
      <w:r>
        <w:t xml:space="preserve">segments (absolute rate or percent-of-profile, with supersession and cancellation),</w:t>
      </w:r>
      <w:r>
        <w:t xml:space="preserve"> </w:t>
      </w:r>
      <w:r>
        <w:t xml:space="preserve">from each person's archive. Where an export has no temp-basal records, basal delivery</w:t>
      </w:r>
      <w:r>
        <w:t xml:space="preserve"> </w:t>
      </w:r>
      <w:r>
        <w:t xml:space="preserve">uses the person's profile schedule (flagged).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a 5-minute delivery grid:</w:t>
      </w:r>
      <w:r>
        <w:t xml:space="preserve"> </w:t>
      </w:r>
      <w:r>
        <w:t xml:space="preserve">lay the basal schedule across time, overlay</w:t>
      </w:r>
      <w:r>
        <w:t xml:space="preserve"> </w:t>
      </w:r>
      <w:r>
        <w:t xml:space="preserve">temp-basal segments, and add boluses into their bins — units delivered per bin.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Compute the windows:</w:t>
      </w:r>
      <w:r>
        <w:t xml:space="preserve"> </w:t>
      </w:r>
      <w:r>
        <w:t xml:space="preserve">trailing 4 h, the 8–4 h window, trailing 24 h, yesterday's</w:t>
      </w:r>
      <w:r>
        <w:t xml:space="preserve"> </w:t>
      </w:r>
      <w:r>
        <w:t xml:space="preserve">calendar total, and the 7-day average. A calendar day counts toward the 7-day average</w:t>
      </w:r>
      <w:r>
        <w:t xml:space="preserve"> </w:t>
      </w:r>
      <w:r>
        <w:t xml:space="preserve">only if it is complete on the grid and carries at least one bolus, so upload gaps do</w:t>
      </w:r>
      <w:r>
        <w:t xml:space="preserve"> </w:t>
      </w:r>
      <w:r>
        <w:t xml:space="preserve">not silently deflate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Blend:</w:t>
      </w:r>
      <w:r>
        <w:t xml:space="preserve"> </w:t>
      </w:r>
      <w:r>
        <w:t xml:space="preserve">apply the exact W8H formula; emit a missing value (the real-world fallback</w:t>
      </w:r>
      <w:r>
        <w:t xml:space="preserve"> </w:t>
      </w:r>
      <w:r>
        <w:t xml:space="preserve">to profile ISF) wherever a component is absent.</w:t>
      </w:r>
    </w:p>
    <w:p>
      <w:pPr>
        <w:pStyle w:val="FirstParagraph"/>
      </w:pPr>
      <w:r>
        <w:t xml:space="preserve">This matters because the equations are functions of the blended TDD, not a flat daily average.</w:t>
      </w:r>
      <w:r>
        <w:t xml:space="preserve"> </w:t>
      </w:r>
      <w:r>
        <w:t xml:space="preserve">Reconstructing the windowed signal makes the replay substantially closer to the device calculation</w:t>
      </w:r>
      <w:r>
        <w:t xml:space="preserve"> </w:t>
      </w:r>
      <w:r>
        <w:t xml:space="preserve">than a flat daily average. It remains approximate where temporary-basal delivery is absent from an</w:t>
      </w:r>
      <w:r>
        <w:t xml:space="preserve"> </w:t>
      </w:r>
      <w:r>
        <w:t xml:space="preserve">export, particularly in the AAPS cohort. A flat-TDD arm runs alongside it to measure how much the</w:t>
      </w:r>
      <w:r>
        <w:t xml:space="preserve"> </w:t>
      </w:r>
      <w:r>
        <w:t xml:space="preserve">blend itself contributes.</w:t>
      </w:r>
    </w:p>
    <w:bookmarkEnd w:id="14"/>
    <w:bookmarkStart w:id="15" w:name="Xc55ad1c7398856a1b87c22299494c51a5ca7ca9"/>
    <w:p>
      <w:pPr>
        <w:pStyle w:val="Heading3"/>
      </w:pPr>
      <w:r>
        <w:t xml:space="preserve">4.3 Absolute-time recovery and ISF replay</w:t>
      </w:r>
    </w:p>
    <w:p>
      <w:pPr>
        <w:pStyle w:val="FirstParagraph"/>
      </w:pPr>
      <w:r>
        <w:t xml:space="preserve">Reconstructed TDD lives in absolute time; decision rows carry only relative time. To join</w:t>
      </w:r>
      <w:r>
        <w:t xml:space="preserve"> </w:t>
      </w:r>
      <w:r>
        <w:t xml:space="preserve">them we recover each person's absolute-time anchor and</w:t>
      </w:r>
      <w:r>
        <w:t xml:space="preserve"> </w:t>
      </w:r>
      <w:r>
        <w:rPr>
          <w:b/>
          <w:bCs/>
        </w:rPr>
        <w:t xml:space="preserve">validate it against an 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signal — the recorded hour-of-day</w:t>
      </w:r>
      <w:r>
        <w:t xml:space="preserve">. Two candidate anchors are each refined by a whole-day</w:t>
      </w:r>
      <w:r>
        <w:t xml:space="preserve"> </w:t>
      </w:r>
      <w:r>
        <w:t xml:space="preserve">shift and then a fine sweep, scored by how well the implied hour-of-day matches the record;</w:t>
      </w:r>
      <w:r>
        <w:t xml:space="preserve"> </w:t>
      </w:r>
      <w:r>
        <w:t xml:space="preserve">the candidate giving the best join coverage wins, and residual mismatch is flagged when it</w:t>
      </w:r>
      <w:r>
        <w:t xml:space="preserve"> </w:t>
      </w:r>
      <w:r>
        <w:t xml:space="preserve">exceeds tolerance.</w:t>
      </w:r>
    </w:p>
    <w:p>
      <w:pPr>
        <w:pStyle w:val="BodyText"/>
      </w:pPr>
      <w:r>
        <w:t xml:space="preserve">Then, for every glucose reading, the replay computes the ISF under both equations using</w:t>
      </w:r>
      <w:r>
        <w:t xml:space="preserve"> </w:t>
      </w:r>
      <w:r>
        <w:t xml:space="preserve">that reading's TDD (device-logged where available, reconstructed otherwise). The output is</w:t>
      </w:r>
      <w:r>
        <w:t xml:space="preserve"> </w:t>
      </w:r>
      <w:r>
        <w:t xml:space="preserve">a per-person table of (glucose, TDD, anchor, ISF) under each equation. Median join coverage</w:t>
      </w:r>
      <w:r>
        <w:t xml:space="preserve"> </w:t>
      </w:r>
      <w:r>
        <w:t xml:space="preserve">was 99.4%, and 5 of 148 reconstructed users retain an uncertain anchor. As a cross-check, the</w:t>
      </w:r>
      <w:r>
        <w:t xml:space="preserve"> </w:t>
      </w:r>
      <w:r>
        <w:t xml:space="preserve">analytic v2/v1 ratio computed from a reading's own glucose and TDD matches the ratio of the</w:t>
      </w:r>
      <w:r>
        <w:t xml:space="preserve"> </w:t>
      </w:r>
      <w:r>
        <w:t xml:space="preserve">replayed ISFs at sampled readings, which confirms the join is sound.</w:t>
      </w:r>
    </w:p>
    <w:bookmarkEnd w:id="15"/>
    <w:bookmarkStart w:id="16" w:name="X5f2fb4233f62f069c91ae07c062531749178a84"/>
    <w:p>
      <w:pPr>
        <w:pStyle w:val="Heading3"/>
      </w:pPr>
      <w:r>
        <w:t xml:space="preserve">4.4 Figures</w:t>
      </w:r>
    </w:p>
    <w:p>
      <w:pPr>
        <w:pStyle w:val="FirstParagraph"/>
      </w:pPr>
      <w:r>
        <w:t xml:space="preserve">Each person gets a page: the ISF–glucose curves under each equation at their median TDD</w:t>
      </w:r>
      <w:r>
        <w:t xml:space="preserve"> </w:t>
      </w:r>
      <w:r>
        <w:t xml:space="preserve">(with a TDD-interquartile band), a two-week sample of both dynamic-ISF traces over their</w:t>
      </w:r>
      <w:r>
        <w:t xml:space="preserve"> </w:t>
      </w:r>
      <w:r>
        <w:t xml:space="preserve">real glucose, and the per-reading ratio distribution. Cohort figures: the per-person median</w:t>
      </w:r>
      <w:r>
        <w:t xml:space="preserve"> </w:t>
      </w:r>
      <w:r>
        <w:t xml:space="preserve">v2/v1 ratio against TDD; per-person median ISF under each equation; and the log-log ISF–TDD</w:t>
      </w:r>
      <w:r>
        <w:t xml:space="preserve"> </w:t>
      </w:r>
      <w:r>
        <w:t xml:space="preserve">relationship with the observed points and the fitted slope.</w:t>
      </w:r>
    </w:p>
    <w:bookmarkEnd w:id="16"/>
    <w:bookmarkStart w:id="17" w:name="Xcca591ad55f78c31914eb83fe478282ffba5f42"/>
    <w:p>
      <w:pPr>
        <w:pStyle w:val="Heading3"/>
      </w:pPr>
      <w:r>
        <w:t xml:space="preserve">4.5 Best-fit equation search</w:t>
      </w:r>
    </w:p>
    <w:p>
      <w:pPr>
        <w:pStyle w:val="FirstParagraph"/>
      </w:pPr>
      <w:r>
        <w:t xml:space="preserve">To ask whether a better equation fits these data, candidates are scored against two targets: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delta-IOB sensitivity proxy</w:t>
      </w:r>
      <w:r>
        <w:t xml:space="preserve"> </w:t>
      </w:r>
      <w:r>
        <w:t xml:space="preserve">— a regression on fasting 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ΔBG = a + b·ΔIOB + c·BG_trend</w:t>
      </w:r>
      <w:r>
        <w:t xml:space="preserve">; proxy = −b; n = 114 after quality gates). New insulin</w:t>
      </w:r>
      <w:r>
        <w:t xml:space="preserve"> </w:t>
      </w:r>
      <w:r>
        <w:t xml:space="preserve">delivery changes IOB during the window, and delivery responds to glucose. This target does</w:t>
      </w:r>
      <w:r>
        <w:t xml:space="preserve"> </w:t>
      </w:r>
      <w:r>
        <w:t xml:space="preserve">not identify the physiological effect of insulin.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tuned-profile ISF</w:t>
      </w:r>
      <w:r>
        <w:t xml:space="preserve"> </w:t>
      </w:r>
      <w:r>
        <w:t xml:space="preserve">— each person's own profile setting (n = 138): "what experienced</w:t>
      </w:r>
      <w:r>
        <w:t xml:space="preserve"> </w:t>
      </w:r>
      <w:r>
        <w:t xml:space="preserve">users converge to".</w:t>
      </w:r>
    </w:p>
    <w:p>
      <w:pPr>
        <w:pStyle w:val="FirstParagraph"/>
      </w:pPr>
      <w:r>
        <w:t xml:space="preserve">Candidates: the two equations above; the historical 1700-rule; the tuned profile value;</w:t>
      </w:r>
      <w:r>
        <w:t xml:space="preserve"> </w:t>
      </w:r>
      <w:r>
        <w:t xml:space="preserve">and fitted forms — a re-fitted constant/TDD, a free-exponent power law A·TDD^b, a</w:t>
      </w:r>
      <w:r>
        <w:t xml:space="preserve"> </w:t>
      </w:r>
      <w:r>
        <w:t xml:space="preserve">fixed-exponent square-root rule K/√TDD, TDD-quartile bands, multivariate log-linear models</w:t>
      </w:r>
      <w:r>
        <w:t xml:space="preserve"> </w:t>
      </w:r>
      <w:r>
        <w:t xml:space="preserve">adding carb ratio / basal fraction / target, and a geometric blend of the profile value</w:t>
      </w:r>
      <w:r>
        <w:t xml:space="preserve"> </w:t>
      </w:r>
      <w:r>
        <w:t xml:space="preserve">with the power law.</w:t>
      </w:r>
    </w:p>
    <w:p>
      <w:pPr>
        <w:pStyle w:val="BodyText"/>
      </w:pPr>
      <w:r>
        <w:rPr>
          <w:b/>
          <w:bCs/>
        </w:rPr>
        <w:t xml:space="preserve">Every fitted candidate is scored by leave-one-user-out cross-validation</w:t>
      </w:r>
      <w:r>
        <w:t xml:space="preserve"> </w:t>
      </w:r>
      <w:r>
        <w:t xml:space="preserve">— refit on all</w:t>
      </w:r>
      <w:r>
        <w:t xml:space="preserve"> </w:t>
      </w:r>
      <w:r>
        <w:t xml:space="preserve">but one person, predict the held-out person, repeat — so fitted forms are judged</w:t>
      </w:r>
      <w:r>
        <w:t xml:space="preserve"> </w:t>
      </w:r>
      <w:r>
        <w:t xml:space="preserve">out-of-sample and are directly comparable with the fixed rules. Metrics: median absolute</w:t>
      </w:r>
      <w:r>
        <w:t xml:space="preserve"> </w:t>
      </w:r>
      <w:r>
        <w:t xml:space="preserve">error, median absolute log-error (scale-free), and fraction of people predicted within</w:t>
      </w:r>
      <w:r>
        <w:t xml:space="preserve"> </w:t>
      </w:r>
      <w:r>
        <w:t xml:space="preserve">±30%. Without cross-validation the fitted equations would carry an unfair in-sample advantage;</w:t>
      </w:r>
      <w:r>
        <w:t xml:space="preserve"> </w:t>
      </w:r>
      <w:r>
        <w:t xml:space="preserve">holding out each person in turn measures how well they generalise to someone new.</w:t>
      </w:r>
    </w:p>
    <w:bookmarkEnd w:id="17"/>
    <w:bookmarkStart w:id="18" w:name="X730fd3c5236e50556a5ad71bebbec625da03f01"/>
    <w:p>
      <w:pPr>
        <w:pStyle w:val="Heading3"/>
      </w:pPr>
      <w:r>
        <w:t xml:space="preserve">4.6 Implementation validation against device-logged ISF</w:t>
      </w:r>
    </w:p>
    <w:p>
      <w:pPr>
        <w:pStyle w:val="FirstParagraph"/>
      </w:pPr>
      <w:r>
        <w:t xml:space="preserve">Independently of the equation comparison, we check that the v1 implementation reproduces</w:t>
      </w:r>
      <w:r>
        <w:t xml:space="preserve"> </w:t>
      </w:r>
      <w:r>
        <w:t xml:space="preserve">what devices actually computed. Trio logs its own per-cycle ISF, giving a device reference for</w:t>
      </w:r>
      <w:r>
        <w:t xml:space="preserve"> </w:t>
      </w:r>
      <w:r>
        <w:t xml:space="preserve">its dynamic-ISF users. We correlate replayed v1 ISF against the device value, expecting,</w:t>
      </w:r>
      <w:r>
        <w:t xml:space="preserve"> </w:t>
      </w:r>
      <w:r>
        <w:t xml:space="preserve">per person, a positive log-log correlation (the curve shape tracks) and a tight, roughly</w:t>
      </w:r>
      <w:r>
        <w:t xml:space="preserve"> </w:t>
      </w:r>
      <w:r>
        <w:t xml:space="preserve">constant multiplicative offset — the device additionally applies an adjustment factor, an</w:t>
      </w:r>
      <w:r>
        <w:t xml:space="preserve"> </w:t>
      </w:r>
      <w:r>
        <w:t xml:space="preserve">insulin divisor, and an autosensitivity ratio, none of which the replay models — rather</w:t>
      </w:r>
      <w:r>
        <w:t xml:space="preserve"> </w:t>
      </w:r>
      <w:r>
        <w:t xml:space="preserve">than a ratio of exactly one.</w:t>
      </w:r>
    </w:p>
    <w:p>
      <w:pPr>
        <w:pStyle w:val="BodyText"/>
      </w:pPr>
      <w:r>
        <w:t xml:space="preserve">This step also surfaced a data-quality issue: four users switched the</w:t>
      </w:r>
      <w:r>
        <w:t xml:space="preserve"> </w:t>
      </w:r>
      <w:r>
        <w:rPr>
          <w:i/>
          <w:iCs/>
        </w:rPr>
        <w:t xml:space="preserve">units</w:t>
      </w:r>
      <w:r>
        <w:t xml:space="preserve"> </w:t>
      </w:r>
      <w:r>
        <w:t xml:space="preserve">of their</w:t>
      </w:r>
      <w:r>
        <w:t xml:space="preserve"> </w:t>
      </w:r>
      <w:r>
        <w:t xml:space="preserve">logged ISF mid-history (mmol/L per unit vs mg/dL per unit). A per-reading correction</w:t>
      </w:r>
      <w:r>
        <w:t xml:space="preserve"> </w:t>
      </w:r>
      <w:r>
        <w:t xml:space="preserve">(values below 20 scaled by 18.018) resolves all four. It affects only this validation read;</w:t>
      </w:r>
      <w:r>
        <w:t xml:space="preserve"> </w:t>
      </w:r>
      <w:r>
        <w:t xml:space="preserve">the main pipeline never consumes that field.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b07ab8a0521f62e3770c811af9677ed69285a47"/>
    <w:p>
      <w:pPr>
        <w:pStyle w:val="Heading2"/>
      </w:pPr>
      <w:r>
        <w:t xml:space="preserve">5. How the outputs support the conclusions</w:t>
      </w:r>
    </w:p>
    <w:p>
      <w:pPr>
        <w:pStyle w:val="FirstParagraph"/>
      </w:pPr>
      <w:r>
        <w:rPr>
          <w:b/>
          <w:bCs/>
        </w:rPr>
        <w:t xml:space="preserve">v2 is the gentler equation for almost everyone.</w:t>
      </w:r>
      <w:r>
        <w:t xml:space="preserve"> </w:t>
      </w:r>
      <w:r>
        <w:t xml:space="preserve">Across the replayed cohort, v2 gives a</w:t>
      </w:r>
      <w:r>
        <w:t xml:space="preserve"> </w:t>
      </w:r>
      <w:r>
        <w:t xml:space="preserve">higher ISF, and so a weaker correction, than v1 on 92% of readings, a median of 3.0×. The</w:t>
      </w:r>
      <w:r>
        <w:t xml:space="preserve"> </w:t>
      </w:r>
      <w:r>
        <w:t xml:space="preserve">margin is widest at low glucose, where the v2 log nears its floor, and narrows to about 1.5×</w:t>
      </w:r>
      <w:r>
        <w:t xml:space="preserve"> </w:t>
      </w:r>
      <w:r>
        <w:t xml:space="preserve">when glucose is high. Both differences between the equations push the same way at realistic</w:t>
      </w:r>
      <w:r>
        <w:t xml:space="preserve"> </w:t>
      </w:r>
      <w:r>
        <w:t xml:space="preserve">doses: the steeper TDD law and the altered glucose term each lift v2's ISF above v1's, so at</w:t>
      </w:r>
      <w:r>
        <w:t xml:space="preserve"> </w:t>
      </w:r>
      <w:r>
        <w:t xml:space="preserve">target glucose the two would only meet near 194 U/day, well beyond anyone in the cohort. The</w:t>
      </w:r>
      <w:r>
        <w:t xml:space="preserve"> </w:t>
      </w:r>
      <w:r>
        <w:t xml:space="preserve">pattern is a direct reading of the replayed data, not a modelling artefact.</w:t>
      </w:r>
    </w:p>
    <w:p>
      <w:pPr>
        <w:pStyle w:val="BodyText"/>
      </w:pPr>
      <w:r>
        <w:rPr>
          <w:b/>
          <w:bCs/>
        </w:rPr>
        <w:t xml:space="preserve">Both TDD power laws are steeper than the fitted proxy relationship.</w:t>
      </w:r>
      <w:r>
        <w:t xml:space="preserve"> </w:t>
      </w:r>
      <w:r>
        <w:t xml:space="preserve">The log-log fit of</w:t>
      </w:r>
      <w:r>
        <w:t xml:space="preserve"> </w:t>
      </w:r>
      <w:r>
        <w:t xml:space="preserve">sensitivity against reconstructed TDD has a slope near −0.5 (bootstrap interval excluding</w:t>
      </w:r>
      <w:r>
        <w:t xml:space="preserve"> </w:t>
      </w:r>
      <w:r>
        <w:t xml:space="preserve">−1). v1 assumes −1 and v2 assumes −2. The proxy is calculated from the same closed-loop record,</w:t>
      </w:r>
      <w:r>
        <w:t xml:space="preserve"> </w:t>
      </w:r>
      <w:r>
        <w:t xml:space="preserve">so this comparison does not establish a physiological TDD exponent.</w:t>
      </w:r>
    </w:p>
    <w:p>
      <w:pPr>
        <w:pStyle w:val="BodyText"/>
      </w:pPr>
      <w:r>
        <w:rPr>
          <w:b/>
          <w:bCs/>
        </w:rPr>
        <w:t xml:space="preserve">A square-root law fits these two targets best.</w:t>
      </w:r>
      <w:r>
        <w:t xml:space="preserve"> </w:t>
      </w:r>
      <w:r>
        <w:t xml:space="preserve">Under cross-validation the K/√TDD form is best against</w:t>
      </w:r>
      <w:r>
        <w:t xml:space="preserve"> </w:t>
      </w:r>
      <w:r>
        <w:t xml:space="preserve">tuned-profile ISF and tied-best against the delta-IOB proxy, beating both equations and</w:t>
      </w:r>
      <w:r>
        <w:t xml:space="preserve"> </w:t>
      </w:r>
      <w:r>
        <w:t xml:space="preserve">the other candidates tested. Added inputs (carb ratio, target, basal fraction) do not robustly</w:t>
      </w:r>
      <w:r>
        <w:t xml:space="preserve"> </w:t>
      </w:r>
      <w:r>
        <w:t xml:space="preserve">improve it. This is a predictive ranking against two observational targets. It does not settle</w:t>
      </w:r>
      <w:r>
        <w:t xml:space="preserve"> </w:t>
      </w:r>
      <w:r>
        <w:t xml:space="preserve">the physiological shape or level.</w:t>
      </w:r>
    </w:p>
    <w:p>
      <w:pPr>
        <w:pStyle w:val="BodyText"/>
      </w:pPr>
      <w:r>
        <w:rPr>
          <w:b/>
          <w:bCs/>
        </w:rPr>
        <w:t xml:space="preserve">The implementation is faithful.</w:t>
      </w:r>
      <w:r>
        <w:t xml:space="preserve"> </w:t>
      </w:r>
      <w:r>
        <w:t xml:space="preserve">The unit tests fix the implementation to the defined</w:t>
      </w:r>
      <w:r>
        <w:t xml:space="preserve"> </w:t>
      </w:r>
      <w:r>
        <w:t xml:space="preserve">equations, and the device-ISF validation shows the dynamic-ISF users tracking their</w:t>
      </w:r>
      <w:r>
        <w:t xml:space="preserve"> </w:t>
      </w:r>
      <w:r>
        <w:t xml:space="preserve">devices' logged ISF with stable per-person offsets once the units issue is corrected, with</w:t>
      </w:r>
      <w:r>
        <w:t xml:space="preserve"> </w:t>
      </w:r>
      <w:r>
        <w:t xml:space="preserve">no unexplained outliers. This licenses treating the replayed ISF as the equation's true</w:t>
      </w:r>
      <w:r>
        <w:t xml:space="preserve"> </w:t>
      </w:r>
      <w:r>
        <w:t xml:space="preserve">output.</w:t>
      </w:r>
    </w:p>
    <w:p>
      <w:r>
        <w:pict>
          <v:rect style="width:0;height:1.5pt" o:hralign="center" o:hrstd="t" o:hr="t"/>
        </w:pict>
      </w:r>
    </w:p>
    <w:bookmarkEnd w:id="20"/>
    <w:bookmarkStart w:id="21" w:name="Xcdc814ea9f20766c6f73dc1a11209f71cc86438"/>
    <w:p>
      <w:pPr>
        <w:pStyle w:val="Heading2"/>
      </w:pPr>
      <w:r>
        <w:t xml:space="preserve">6. Reproducibility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Key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Equation implementation +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inv008/dynisf.py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inv008/tests/</w:t>
            </w:r>
          </w:p>
        </w:tc>
        <w:tc>
          <w:tcPr/>
          <w:p>
            <w:pPr>
              <w:pStyle w:val="Compact"/>
            </w:pPr>
            <w:r>
              <w:t xml:space="preserve">27 passing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reconstruction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inv008/stage1_tdd.py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tdd_windows.py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per-person TDD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ISF replay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inv008/stage2_replay.py</w:t>
            </w:r>
          </w:p>
        </w:tc>
        <w:tc>
          <w:tcPr/>
          <w:p>
            <w:pPr>
              <w:pStyle w:val="Compact"/>
            </w:pPr>
            <w:r>
              <w:t xml:space="preserve">per-person ISF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inv008/runner.py</w:t>
            </w:r>
          </w:p>
        </w:tc>
        <w:tc>
          <w:tcPr/>
          <w:p>
            <w:pPr>
              <w:pStyle w:val="Compact"/>
            </w:pPr>
            <w:r>
              <w:t xml:space="preserve">run logs + manifests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inv008/stage3_plots.py</w:t>
            </w:r>
          </w:p>
        </w:tc>
        <w:tc>
          <w:tcPr/>
          <w:p>
            <w:pPr>
              <w:pStyle w:val="Compact"/>
            </w:pPr>
            <w:r>
              <w:t xml:space="preserve">cohort + per-person 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Equation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fit_best_isf.py</w:t>
            </w:r>
          </w:p>
        </w:tc>
        <w:tc>
          <w:tcPr/>
          <w:p>
            <w:pPr>
              <w:pStyle w:val="Compact"/>
            </w:pPr>
            <w:r>
              <w:t xml:space="preserve">candidate-comparison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personalisation fit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inv008/fit_personalisation.py</w:t>
            </w:r>
          </w:p>
        </w:tc>
        <w:tc>
          <w:tcPr/>
          <w:p>
            <w:pPr>
              <w:pStyle w:val="Compact"/>
            </w:pPr>
            <w:r>
              <w:t xml:space="preserve">proxy exponent / per-user-K description; dosing interpretation withdrawn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inv008/validate_device_isf.py</w:t>
            </w:r>
          </w:p>
        </w:tc>
        <w:tc>
          <w:tcPr/>
          <w:p>
            <w:pPr>
              <w:pStyle w:val="Compact"/>
            </w:pPr>
            <w:r>
              <w:t xml:space="preserve">validation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Delivery/basal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extract_treatments_tdd.py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extract_hourly_basal.py</w:t>
            </w:r>
          </w:p>
        </w:tc>
        <w:tc>
          <w:tcPr/>
          <w:p>
            <w:pPr>
              <w:pStyle w:val="Compact"/>
            </w:pPr>
            <w:r>
              <w:t xml:space="preserve">input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cohort + delta-IOB 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canonical_cohort.py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empirical_isf_v5.py</w:t>
            </w:r>
          </w:p>
        </w:tc>
        <w:tc>
          <w:tcPr/>
          <w:p>
            <w:pPr>
              <w:pStyle w:val="Compact"/>
            </w:pPr>
            <w:r>
              <w:t xml:space="preserve">targets for the search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python -m pytest inv008/tests/</w:t>
      </w:r>
      <w:r>
        <w:br/>
      </w:r>
      <w:r>
        <w:rPr>
          <w:rStyle w:val="VerbatimChar"/>
        </w:rPr>
        <w:t xml:space="preserve">python -m inv008.runner --stage 1 --platforms v6 v7</w:t>
      </w:r>
      <w:r>
        <w:br/>
      </w:r>
      <w:r>
        <w:rPr>
          <w:rStyle w:val="VerbatimChar"/>
        </w:rPr>
        <w:t xml:space="preserve">python -m inv008.runner --stage 2 --platforms v5 v6 v7</w:t>
      </w:r>
      <w:r>
        <w:br/>
      </w:r>
      <w:r>
        <w:rPr>
          <w:rStyle w:val="VerbatimChar"/>
        </w:rPr>
        <w:t xml:space="preserve">python -m inv008.stage3_plots</w:t>
      </w:r>
      <w:r>
        <w:br/>
      </w:r>
      <w:r>
        <w:rPr>
          <w:rStyle w:val="VerbatimChar"/>
        </w:rPr>
        <w:t xml:space="preserve">python fit_best_isf.py</w:t>
      </w:r>
      <w:r>
        <w:br/>
      </w:r>
      <w:r>
        <w:rPr>
          <w:rStyle w:val="VerbatimChar"/>
        </w:rPr>
        <w:t xml:space="preserve">python -m inv008.validate_device_isf</w:t>
      </w:r>
    </w:p>
    <w:p>
      <w:r>
        <w:pict>
          <v:rect style="width:0;height:1.5pt" o:hralign="center" o:hrstd="t" o:hr="t"/>
        </w:pict>
      </w:r>
    </w:p>
    <w:bookmarkEnd w:id="21"/>
    <w:bookmarkStart w:id="22" w:name="Xd6e2a28b540f60d683cac247f80283003c60b1c"/>
    <w:p>
      <w:pPr>
        <w:pStyle w:val="Heading2"/>
      </w:pPr>
      <w:r>
        <w:t xml:space="preserve">7.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Counterfactual replay.</w:t>
      </w:r>
      <w:r>
        <w:t xml:space="preserve"> </w:t>
      </w:r>
      <w:r>
        <w:t xml:space="preserve">We compare the ISF each equation</w:t>
      </w:r>
      <w:r>
        <w:t xml:space="preserve"> </w:t>
      </w:r>
      <w:r>
        <w:rPr>
          <w:i/>
          <w:iCs/>
        </w:rPr>
        <w:t xml:space="preserve">would have computed</w:t>
      </w:r>
      <w:r>
        <w:t xml:space="preserve"> </w:t>
      </w:r>
      <w:r>
        <w:t xml:space="preserve">on</w:t>
      </w:r>
      <w:r>
        <w:t xml:space="preserve"> </w:t>
      </w:r>
      <w:r>
        <w:t xml:space="preserve">real histories, not closed-loop glycaemic outcomes.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Basal approximation for one platform.</w:t>
      </w:r>
      <w:r>
        <w:t xml:space="preserve"> </w:t>
      </w:r>
      <w:r>
        <w:t xml:space="preserve">Where exports lack temp-basal records, basal</w:t>
      </w:r>
      <w:r>
        <w:t xml:space="preserve"> </w:t>
      </w:r>
      <w:r>
        <w:t xml:space="preserve">TDD uses the profile schedule.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Delta-IOB proxy.</w:t>
      </w:r>
      <w:r>
        <w:t xml:space="preserve"> </w:t>
      </w:r>
      <w:r>
        <w:t xml:space="preserve">The regression is affected by in-window delivery, unrecorded</w:t>
      </w:r>
      <w:r>
        <w:t xml:space="preserve"> </w:t>
      </w:r>
      <w:r>
        <w:t xml:space="preserve">carbohydrate, endogenous-glucose effects and closed-loop confounding. It has confidence</w:t>
      </w:r>
      <w:r>
        <w:t xml:space="preserve"> </w:t>
      </w:r>
      <w:r>
        <w:t xml:space="preserve">intervals but no external physiological ground truth. Its level and TDD slope are provisional.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cohort.</w:t>
      </w:r>
      <w:r>
        <w:t xml:space="preserve"> </w:t>
      </w:r>
      <w:r>
        <w:t xml:space="preserve">Open-source AID users, mostly 2016–2023; no commercial-system or</w:t>
      </w:r>
      <w:r>
        <w:t xml:space="preserve"> </w:t>
      </w:r>
      <w:r>
        <w:t xml:space="preserve">demographic data. n = 114/138 for the historical proxy analyses.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Anchor uncertainty.</w:t>
      </w:r>
      <w:r>
        <w:t xml:space="preserve"> </w:t>
      </w:r>
      <w:r>
        <w:t xml:space="preserve">Five reconstructed users retain time-anchor uncertainty and are</w:t>
      </w:r>
      <w:r>
        <w:t xml:space="preserve"> </w:t>
      </w:r>
      <w:r>
        <w:t xml:space="preserve">flagged.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2026-09-16T14:29:41Z</dcterms:created>
  <dcterms:modified xsi:type="dcterms:W3CDTF">2026-09-16T14:29:41Z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