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f49e00d21d542f75ef220da0e92003877027bd"/>
    <w:p>
      <w:pPr>
        <w:pStyle w:val="Heading1"/>
      </w:pPr>
      <w:r>
        <w:t xml:space="preserve">Dynamic ISF: withdrawn v-next proposal and current evidence status</w:t>
      </w:r>
    </w:p>
    <w:p>
      <w:pPr>
        <w:pStyle w:val="FirstParagraph"/>
      </w:pPr>
      <w:r>
        <w:rPr>
          <w:b/>
          <w:bCs/>
        </w:rPr>
        <w:t xml:space="preserve">2026-06-07; audited 2026-09-16</w:t>
      </w:r>
      <w:r>
        <w:t xml:space="preserve"> </w:t>
      </w:r>
      <w:r>
        <w:t xml:space="preserve">· Tim Street / Claude</w:t>
      </w:r>
    </w:p>
    <w:p>
      <w:pPr>
        <w:pStyle w:val="BlockText"/>
      </w:pPr>
      <w:r>
        <w:t xml:space="preserve">This document records a model proposed in June 2026 and the evidence that led to its</w:t>
      </w:r>
      <w:r>
        <w:t xml:space="preserve"> </w:t>
      </w:r>
      <w:r>
        <w:t xml:space="preserve">withdrawal. It is not a dosing recommendation. The full technical review is in</w:t>
      </w:r>
      <w:r>
        <w:t xml:space="preserve"> </w:t>
      </w:r>
      <w:r>
        <w:rPr>
          <w:rStyle w:val="VerbatimChar"/>
        </w:rPr>
        <w:t xml:space="preserve">DYNAMIC-ISF-AUDIT-2026-09.md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proposed v-next model combined three ideas:</w:t>
      </w:r>
    </w:p>
    <w:p>
      <w:pPr>
        <w:pStyle w:val="Compact"/>
        <w:numPr>
          <w:ilvl w:val="0"/>
          <w:numId w:val="1001"/>
        </w:numPr>
      </w:pPr>
      <w:r>
        <w:t xml:space="preserve">an ISF anchor proportional to</w:t>
      </w:r>
      <w:r>
        <w:t xml:space="preserve"> </w:t>
      </w:r>
      <w:r>
        <w:rPr>
          <w:rStyle w:val="VerbatimChar"/>
        </w:rPr>
        <w:t xml:space="preserve">1/√TDD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 per-person constant,</w:t>
      </w:r>
      <w:r>
        <w:t xml:space="preserve"> </w:t>
      </w:r>
      <w:r>
        <w:rPr>
          <w:rStyle w:val="VerbatimChar"/>
        </w:rPr>
        <w:t xml:space="preserve">K_user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 glucose curve adapted from a Diabeloop quartic.</w:t>
      </w:r>
    </w:p>
    <w:p>
      <w:pPr>
        <w:pStyle w:val="FirstParagraph"/>
      </w:pPr>
      <w:r>
        <w:t xml:space="preserve">The model fitted two historical targets better than Dynamic ISF v1 or v2. One target was the</w:t>
      </w:r>
      <w:r>
        <w:t xml:space="preserve"> </w:t>
      </w:r>
      <w:r>
        <w:t xml:space="preserve">person's entered profile ISF. The other was a coefficient calculated from glucose change and</w:t>
      </w:r>
      <w:r>
        <w:t xml:space="preserve"> </w:t>
      </w:r>
      <w:r>
        <w:t xml:space="preserve">change in IOB during fasting windows.</w:t>
      </w:r>
    </w:p>
    <w:p>
      <w:pPr>
        <w:pStyle w:val="BodyText"/>
      </w:pPr>
      <w:r>
        <w:t xml:space="preserve">The audit changes the interpretation. The change-in-IOB coefficient is an observational outcome</w:t>
      </w:r>
      <w:r>
        <w:t xml:space="preserve"> </w:t>
      </w:r>
      <w:r>
        <w:t xml:space="preserve">proxy, not an independent measurement of insulin action. New insulin is delivered during the</w:t>
      </w:r>
      <w:r>
        <w:t xml:space="preserve"> </w:t>
      </w:r>
      <w:r>
        <w:t xml:space="preserve">window, the controller chooses that delivery in response to glucose, and unrecorded carbohydrate</w:t>
      </w:r>
      <w:r>
        <w:t xml:space="preserve"> </w:t>
      </w:r>
      <w:r>
        <w:t xml:space="preserve">and endogenous glucose remain possible. The fitted</w:t>
      </w:r>
      <w:r>
        <w:t xml:space="preserve"> </w:t>
      </w:r>
      <w:r>
        <w:rPr>
          <w:rStyle w:val="VerbatimChar"/>
        </w:rPr>
        <w:t xml:space="preserve">1/√TDD</w:t>
      </w:r>
      <w:r>
        <w:t xml:space="preserve"> </w:t>
      </w:r>
      <w:r>
        <w:t xml:space="preserve">relationship therefore does not</w:t>
      </w:r>
      <w:r>
        <w:t xml:space="preserve"> </w:t>
      </w:r>
      <w:r>
        <w:t xml:space="preserve">establish a physiological TDD law. The same problem affects constants derived from that proxy.</w:t>
      </w:r>
    </w:p>
    <w:p>
      <w:pPr>
        <w:pStyle w:val="BodyText"/>
      </w:pPr>
      <w:r>
        <w:t xml:space="preserve">The proposal is withdrawn for live dosing. It can still be used as a named candidate in</w:t>
      </w:r>
      <w:r>
        <w:t xml:space="preserve"> </w:t>
      </w:r>
      <w:r>
        <w:t xml:space="preserve">simulation, shadow replay or a prospective study designed to identify insulin effect.</w:t>
      </w:r>
    </w:p>
    <w:p>
      <w:r>
        <w:pict>
          <v:rect style="width:0;height:1.5pt" o:hralign="center" o:hrstd="t" o:hr="t"/>
        </w:pict>
      </w:r>
    </w:p>
    <w:bookmarkEnd w:id="21"/>
    <w:bookmarkStart w:id="22" w:name="Xc517a31aaef11dab5e608506c2a5854b7f20a8b"/>
    <w:p>
      <w:pPr>
        <w:pStyle w:val="Heading2"/>
      </w:pPr>
      <w:r>
        <w:t xml:space="preserve">1. The historical model</w:t>
      </w:r>
    </w:p>
    <w:p>
      <w:pPr>
        <w:pStyle w:val="FirstParagraph"/>
      </w:pPr>
      <w:r>
        <w:t xml:space="preserve">At normal target, the proposed sensitivity was:</w:t>
      </w:r>
    </w:p>
    <w:p>
      <w:pPr>
        <w:pStyle w:val="SourceCode"/>
      </w:pPr>
      <w:r>
        <w:rPr>
          <w:rStyle w:val="VerbatimChar"/>
        </w:rPr>
        <w:t xml:space="preserve">ISF = K_user / √TDD</w:t>
      </w:r>
    </w:p>
    <w:p>
      <w:pPr>
        <w:pStyle w:val="FirstParagraph"/>
      </w:pPr>
      <w:r>
        <w:t xml:space="preserve">At other glucose levels:</w:t>
      </w:r>
    </w:p>
    <w:p>
      <w:pPr>
        <w:pStyle w:val="SourceCode"/>
      </w:pPr>
      <w:r>
        <w:rPr>
          <w:rStyle w:val="VerbatimChar"/>
        </w:rPr>
        <w:t xml:space="preserve">v1:      ISF(BG) = 1800   / (TDD  · ln(BG_capped/75 + 1))</w:t>
      </w:r>
      <w:r>
        <w:br/>
      </w:r>
      <w:r>
        <w:rPr>
          <w:rStyle w:val="VerbatimChar"/>
        </w:rPr>
        <w:t xml:space="preserve">v2:      ISF(BG) = 115000 / (TDD² · ln(BG_floored/75))</w:t>
      </w:r>
      <w:r>
        <w:br/>
      </w:r>
      <w:r>
        <w:rPr>
          <w:rStyle w:val="VerbatimChar"/>
        </w:rPr>
        <w:t xml:space="preserve">v-next:  ISF(BG) = (K_user / √TDD) · g(BG)</w:t>
      </w:r>
    </w:p>
    <w:p>
      <w:pPr>
        <w:pStyle w:val="FirstParagraph"/>
      </w:pPr>
      <w:r>
        <w:t xml:space="preserve">For the standard rapid-acting configuration, including NovoRapid, v2 uses divisor 75 and floors</w:t>
      </w:r>
      <w:r>
        <w:t xml:space="preserve"> </w:t>
      </w:r>
      <w:r>
        <w:t xml:space="preserve">glucose at 76 mg/dL. The author-confirmed v2 equation does not contain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in its logarithm.</w:t>
      </w:r>
    </w:p>
    <w:p>
      <w:pPr>
        <w:pStyle w:val="BodyText"/>
      </w:pPr>
      <w:r>
        <w:t xml:space="preserve">The proposed glucose function was:</w:t>
      </w:r>
    </w:p>
    <w:p>
      <w:pPr>
        <w:pStyle w:val="SourceCode"/>
      </w:pPr>
      <w:r>
        <w:rPr>
          <w:rStyle w:val="VerbatimChar"/>
        </w:rPr>
        <w:t xml:space="preserve">q(BG) = 272 − 3.121·BG + 0.01511·BG² − 3.305e-5·BG³ + 2.69e-8·BG⁴</w:t>
      </w:r>
      <w:r>
        <w:br/>
      </w:r>
      <w:r>
        <w:rPr>
          <w:rStyle w:val="VerbatimChar"/>
        </w:rPr>
        <w:t xml:space="preserve">g(BG) = q(BG) / q(99)</w:t>
      </w:r>
    </w:p>
    <w:p>
      <w:pPr>
        <w:pStyle w:val="FirstParagraph"/>
      </w:pPr>
      <w:r>
        <w:t xml:space="preserve">The Tier 1 form anchored</w:t>
      </w:r>
      <w:r>
        <w:t xml:space="preserve"> </w:t>
      </w:r>
      <w:r>
        <w:rPr>
          <w:rStyle w:val="VerbatimChar"/>
        </w:rPr>
        <w:t xml:space="preserve">K_user</w:t>
      </w:r>
      <w:r>
        <w:t xml:space="preserve"> </w:t>
      </w:r>
      <w:r>
        <w:t xml:space="preserve">to the existing profile ISF. The Tier 2 form replaced the</w:t>
      </w:r>
      <w:r>
        <w:t xml:space="preserve"> </w:t>
      </w:r>
      <w:r>
        <w:t xml:space="preserve">profile anchor with the change-in-IOB proxy. Tier 2 is invalid as a physiological calibration.</w:t>
      </w:r>
      <w:r>
        <w:t xml:space="preserve"> </w:t>
      </w:r>
      <w:r>
        <w:t xml:space="preserve">Tier 1 preserves the person's entered level at their reference TDD, but the added TDD and glucose</w:t>
      </w:r>
      <w:r>
        <w:t xml:space="preserve"> </w:t>
      </w:r>
      <w:r>
        <w:t xml:space="preserve">responses remain unvalidated.</w:t>
      </w:r>
    </w:p>
    <w:p>
      <w:r>
        <w:pict>
          <v:rect style="width:0;height:1.5pt" o:hralign="center" o:hrstd="t" o:hr="t"/>
        </w:pict>
      </w:r>
    </w:p>
    <w:bookmarkEnd w:id="22"/>
    <w:bookmarkStart w:id="26" w:name="X40ec2fe5c13a77e69061701d27f2746230fd67a"/>
    <w:p>
      <w:pPr>
        <w:pStyle w:val="Heading2"/>
      </w:pPr>
      <w:r>
        <w:t xml:space="preserve">2. What the historical fit showed</w:t>
      </w:r>
    </w:p>
    <w:p>
      <w:pPr>
        <w:pStyle w:val="FirstParagraph"/>
      </w:pPr>
      <w:r>
        <w:t xml:space="preserve">The candidate equations were scored by leave-one-user-out cross-validation against entered</w:t>
      </w:r>
      <w:r>
        <w:t xml:space="preserve"> </w:t>
      </w:r>
      <w:r>
        <w:t xml:space="preserve">profile ISF in 138 people and the change-in-IOB proxy in 114 people.</w:t>
      </w:r>
    </w:p>
    <w:p>
      <w:pPr>
        <w:pStyle w:val="BodyText"/>
      </w:pPr>
      <w:r>
        <w:drawing>
          <wp:inline>
            <wp:extent cx="5334000" cy="2095500"/>
            <wp:effectExtent b="0" l="0" r="0" t="0"/>
            <wp:docPr descr="Historical candidate comparison. These are predictive fits to entered settings and an observational proxy, not physiological validation." title="" id="24" name="Picture"/>
            <a:graphic>
              <a:graphicData uri="http://schemas.openxmlformats.org/drawingml/2006/picture">
                <pic:pic>
                  <pic:nvPicPr>
                    <pic:cNvPr descr="charts/inv008/fig_best_fi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best simple 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log error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entered profile ISF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355/√TDD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  <w:r>
              <w:t xml:space="preserve">predicts how this cohort had configured ISF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change-in-IOB proxy</w:t>
            </w:r>
          </w:p>
        </w:tc>
        <w:tc>
          <w:tcPr/>
          <w:p>
            <w:pPr>
              <w:pStyle w:val="Compact"/>
            </w:pPr>
            <w:r>
              <w:t xml:space="preserve">approximately</w:t>
            </w:r>
            <w:r>
              <w:t xml:space="preserve"> </w:t>
            </w:r>
            <w:r>
              <w:rPr>
                <w:rStyle w:val="VerbatimChar"/>
              </w:rPr>
              <w:t xml:space="preserve">145/√TDD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  <w:tc>
          <w:tcPr/>
          <w:p>
            <w:pPr>
              <w:pStyle w:val="Compact"/>
            </w:pPr>
            <w:r>
              <w:t xml:space="preserve">predicts an observational closed-loop coefficient</w:t>
            </w:r>
          </w:p>
        </w:tc>
      </w:tr>
    </w:tbl>
    <w:p>
      <w:pPr>
        <w:pStyle w:val="BodyText"/>
      </w:pPr>
      <w:r>
        <w:t xml:space="preserve">These are valid predictive descriptions of those targets. They are not physiological constants.</w:t>
      </w:r>
      <w:r>
        <w:t xml:space="preserve"> </w:t>
      </w:r>
      <w:r>
        <w:t xml:space="preserve">The apparent exponent near</w:t>
      </w:r>
      <w:r>
        <w:t xml:space="preserve"> </w:t>
      </w:r>
      <w:r>
        <w:rPr>
          <w:rStyle w:val="VerbatimChar"/>
        </w:rPr>
        <w:t xml:space="preserve">−0.5</w:t>
      </w:r>
      <w:r>
        <w:t xml:space="preserve"> </w:t>
      </w:r>
      <w:r>
        <w:t xml:space="preserve">may reflect controller behaviour, treatment patterns, selection</w:t>
      </w:r>
      <w:r>
        <w:t xml:space="preserve"> </w:t>
      </w:r>
      <w:r>
        <w:t xml:space="preserve">of fasting windows, residual carbohydrate and the construction of the proxy itself.</w:t>
      </w:r>
    </w:p>
    <w:p>
      <w:pPr>
        <w:pStyle w:val="BodyText"/>
      </w:pPr>
      <w:r>
        <w:t xml:space="preserve">V2 performed poorly against both targets. That comparison remains useful for understanding how</w:t>
      </w:r>
      <w:r>
        <w:t xml:space="preserve"> </w:t>
      </w:r>
      <w:r>
        <w:t xml:space="preserve">different the equations are, but it does not prove that the square-root candidate is the correct</w:t>
      </w:r>
      <w:r>
        <w:t xml:space="preserve"> </w:t>
      </w:r>
      <w:r>
        <w:t xml:space="preserve">biological relationship.</w:t>
      </w:r>
    </w:p>
    <w:p>
      <w:r>
        <w:pict>
          <v:rect style="width:0;height:1.5pt" o:hralign="center" o:hrstd="t" o:hr="t"/>
        </w:pict>
      </w:r>
    </w:p>
    <w:bookmarkEnd w:id="26"/>
    <w:bookmarkStart w:id="31" w:name="Xf72d087c1a6fa04f08cf609d1b9da0011123016"/>
    <w:p>
      <w:pPr>
        <w:pStyle w:val="Heading2"/>
      </w:pPr>
      <w:r>
        <w:t xml:space="preserve">3. What survives the audit</w:t>
      </w:r>
    </w:p>
    <w:bookmarkStart w:id="27" w:name="equation-arithmetic"/>
    <w:p>
      <w:pPr>
        <w:pStyle w:val="Heading3"/>
      </w:pPr>
      <w:r>
        <w:t xml:space="preserve">Equation arithmetic</w:t>
      </w:r>
    </w:p>
    <w:p>
      <w:pPr>
        <w:pStyle w:val="FirstParagraph"/>
      </w:pPr>
      <w:r>
        <w:t xml:space="preserve">The implementations of v1, v2 and the candidate v-next equation are reproducible. The v2 replay</w:t>
      </w:r>
      <w:r>
        <w:t xml:space="preserve"> </w:t>
      </w:r>
      <w:r>
        <w:t xml:space="preserve">already used the author-confirmed no-</w:t>
      </w:r>
      <w:r>
        <w:rPr>
          <w:rStyle w:val="VerbatimChar"/>
        </w:rPr>
        <w:t xml:space="preserve">+1</w:t>
      </w:r>
      <w:r>
        <w:t xml:space="preserve"> </w:t>
      </w:r>
      <w:r>
        <w:t xml:space="preserve">form. Unit tests now include explicit checks that the</w:t>
      </w:r>
      <w:r>
        <w:t xml:space="preserve"> </w:t>
      </w:r>
      <w:r>
        <w:t xml:space="preserve">v2 floor follows the configured divisor, 75/76 for standard rapid-acting insulin and 55/56 for</w:t>
      </w:r>
      <w:r>
        <w:t xml:space="preserve"> </w:t>
      </w:r>
      <w:r>
        <w:t xml:space="preserve">the alternative configuration.</w:t>
      </w:r>
    </w:p>
    <w:bookmarkEnd w:id="27"/>
    <w:bookmarkStart w:id="28" w:name="direct-equation-comparison"/>
    <w:p>
      <w:pPr>
        <w:pStyle w:val="Heading3"/>
      </w:pPr>
      <w:r>
        <w:t xml:space="preserve">Direct equation comparison</w:t>
      </w:r>
    </w:p>
    <w:p>
      <w:pPr>
        <w:pStyle w:val="FirstParagraph"/>
      </w:pPr>
      <w:r>
        <w:t xml:space="preserve">V2 generally produces a much higher ISF than v1 in this cohort, especially near its glucose</w:t>
      </w:r>
      <w:r>
        <w:t xml:space="preserve"> </w:t>
      </w:r>
      <w:r>
        <w:t xml:space="preserve">floor. The v2-to-v1 ratio depends on both glucose and TDD. This is a mathematical comparison of</w:t>
      </w:r>
      <w:r>
        <w:t xml:space="preserve"> </w:t>
      </w:r>
      <w:r>
        <w:t xml:space="preserve">equation outputs and remains valid.</w:t>
      </w:r>
    </w:p>
    <w:bookmarkEnd w:id="28"/>
    <w:bookmarkStart w:id="29" w:name="X6195a490e3c25ecf68994809850f3a4685d7b19"/>
    <w:p>
      <w:pPr>
        <w:pStyle w:val="Heading3"/>
      </w:pPr>
      <w:r>
        <w:t xml:space="preserve">Predictive comparison within the loop model</w:t>
      </w:r>
    </w:p>
    <w:p>
      <w:pPr>
        <w:pStyle w:val="FirstParagraph"/>
      </w:pPr>
      <w:r>
        <w:t xml:space="preserve">In the selected overnight windows, a tuned static ISF and the loop's own ISF prediction produced</w:t>
      </w:r>
      <w:r>
        <w:t xml:space="preserve"> </w:t>
      </w:r>
      <w:r>
        <w:t xml:space="preserve">smaller prediction errors than v1 or v2. This is a comparison within the loop's linear IOB</w:t>
      </w:r>
      <w:r>
        <w:t xml:space="preserve"> </w:t>
      </w:r>
      <w:r>
        <w:t xml:space="preserve">prediction model. It is not an independent measurement of physiological sensitivity.</w:t>
      </w:r>
    </w:p>
    <w:bookmarkEnd w:id="29"/>
    <w:bookmarkStart w:id="30" w:name="glucose-shape-result"/>
    <w:p>
      <w:pPr>
        <w:pStyle w:val="Heading3"/>
      </w:pPr>
      <w:r>
        <w:t xml:space="preserve">Glucose-shape result</w:t>
      </w:r>
    </w:p>
    <w:p>
      <w:pPr>
        <w:pStyle w:val="FirstParagraph"/>
      </w:pPr>
      <w:r>
        <w:t xml:space="preserve">After changing the shape analysis from shuffled folds to contiguous time folds, the best fitted</w:t>
      </w:r>
      <w:r>
        <w:t xml:space="preserve"> </w:t>
      </w:r>
      <w:r>
        <w:t xml:space="preserve">power exponent remained</w:t>
      </w:r>
      <w:r>
        <w:t xml:space="preserve"> </w:t>
      </w:r>
      <w:r>
        <w:rPr>
          <w:rStyle w:val="VerbatimChar"/>
        </w:rPr>
        <w:t xml:space="preserve">k = 0</w:t>
      </w:r>
      <w:r>
        <w:t xml:space="preserve">. Adding a glucose-dependent multiplier did not improve median</w:t>
      </w:r>
      <w:r>
        <w:t xml:space="preserve"> </w:t>
      </w:r>
      <w:r>
        <w:t xml:space="preserve">absolute error. The analysed windows therefore provide no predictive support for adding the</w:t>
      </w:r>
      <w:r>
        <w:t xml:space="preserve"> </w:t>
      </w:r>
      <w:r>
        <w:t xml:space="preserve">proposed glucose curve. They do not prove that glucose can never affect insulin sensitivity.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58d37008564873cc02863ef117d8766a58e166b"/>
    <w:p>
      <w:pPr>
        <w:pStyle w:val="Heading2"/>
      </w:pPr>
      <w:r>
        <w:t xml:space="preserve">4. Why the dosing proposal is withdrawn</w:t>
      </w:r>
    </w:p>
    <w:p>
      <w:pPr>
        <w:pStyle w:val="FirstParagraph"/>
      </w:pPr>
      <w:r>
        <w:t xml:space="preserve">Four identification problems matter.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 in IOB is not absorbed insulin.</w:t>
      </w:r>
      <w:r>
        <w:t xml:space="preserve"> </w:t>
      </w:r>
      <w:r>
        <w:t xml:space="preserve">IOB changes because insulin acts, because new</w:t>
      </w:r>
      <w:r>
        <w:t xml:space="preserve"> </w:t>
      </w:r>
      <w:r>
        <w:t xml:space="preserve">insulin is delivered, and because time passes through the assumed action curve.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Delivery is endogenous.</w:t>
      </w:r>
      <w:r>
        <w:t xml:space="preserve"> </w:t>
      </w:r>
      <w:r>
        <w:t xml:space="preserve">A closed-loop system gives more or less insulin in response to</w:t>
      </w:r>
      <w:r>
        <w:t xml:space="preserve"> </w:t>
      </w:r>
      <w:r>
        <w:t xml:space="preserve">glucose and trend. Insulin delivery is therefore correlated with the outcome being explained.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Carbohydrate screening is incomplete.</w:t>
      </w:r>
      <w:r>
        <w:t xml:space="preserve"> </w:t>
      </w:r>
      <w:r>
        <w:t xml:space="preserve">A future-rise filter uses information from the</w:t>
      </w:r>
      <w:r>
        <w:t xml:space="preserve"> </w:t>
      </w:r>
      <w:r>
        <w:t xml:space="preserve">outcome interval and cannot prove that carbohydrate effect is absent. Separate post-COB work</w:t>
      </w:r>
      <w:r>
        <w:t xml:space="preserve"> </w:t>
      </w:r>
      <w:r>
        <w:t xml:space="preserve">found evidence consistent with carbohydrate action outlasting the recorded COB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action-balance estimator is model dependent.</w:t>
      </w:r>
      <w:r>
        <w:t xml:space="preserve"> </w:t>
      </w:r>
      <w:r>
        <w:t xml:space="preserve">It uses model-derived IOB and suggested</w:t>
      </w:r>
      <w:r>
        <w:t xml:space="preserve"> </w:t>
      </w:r>
      <w:r>
        <w:t xml:space="preserve">delivery. Suggested SMB and temporary basal are not always confirmed enacted delivery.</w:t>
      </w:r>
    </w:p>
    <w:p>
      <w:pPr>
        <w:pStyle w:val="FirstParagraph"/>
      </w:pPr>
      <w:r>
        <w:t xml:space="preserve">These limitations affect the claimed TDD exponent, the proposed constants, and the idea that a</w:t>
      </w:r>
      <w:r>
        <w:t xml:space="preserve"> </w:t>
      </w:r>
      <w:r>
        <w:t xml:space="preserve">short observational window can set a person's physiological ISF. They do not invalidate the</w:t>
      </w:r>
      <w:r>
        <w:t xml:space="preserve"> </w:t>
      </w:r>
      <w:r>
        <w:t xml:space="preserve">equation replay itself.</w:t>
      </w:r>
    </w:p>
    <w:p>
      <w:r>
        <w:pict>
          <v:rect style="width:0;height:1.5pt" o:hralign="center" o:hrstd="t" o:hr="t"/>
        </w:pict>
      </w:r>
    </w:p>
    <w:bookmarkEnd w:id="32"/>
    <w:bookmarkStart w:id="33" w:name="Xcd1de0419ce59a672a1eb62a99c147859cd9fba"/>
    <w:p>
      <w:pPr>
        <w:pStyle w:val="Heading2"/>
      </w:pPr>
      <w:r>
        <w:t xml:space="preserve">5. Appropriate future use</w:t>
      </w:r>
    </w:p>
    <w:p>
      <w:pPr>
        <w:pStyle w:val="FirstParagraph"/>
      </w:pPr>
      <w:r>
        <w:t xml:space="preserve">The v-next equation may be retained as a research candidate, with these restrictions:</w:t>
      </w:r>
    </w:p>
    <w:p>
      <w:pPr>
        <w:pStyle w:val="Compact"/>
        <w:numPr>
          <w:ilvl w:val="0"/>
          <w:numId w:val="1003"/>
        </w:numPr>
      </w:pPr>
      <w:r>
        <w:t xml:space="preserve">no live dosing recommendation from the retrospective fits;</w:t>
      </w:r>
    </w:p>
    <w:p>
      <w:pPr>
        <w:pStyle w:val="Compact"/>
        <w:numPr>
          <w:ilvl w:val="0"/>
          <w:numId w:val="1003"/>
        </w:numPr>
      </w:pPr>
      <w:r>
        <w:t xml:space="preserve">no claim that</w:t>
      </w:r>
      <w:r>
        <w:t xml:space="preserve"> </w:t>
      </w:r>
      <w:r>
        <w:rPr>
          <w:rStyle w:val="VerbatimChar"/>
        </w:rPr>
        <w:t xml:space="preserve">1/√TDD</w:t>
      </w:r>
      <w:r>
        <w:t xml:space="preserve"> </w:t>
      </w:r>
      <w:r>
        <w:t xml:space="preserve">is a physiological law;</w:t>
      </w:r>
    </w:p>
    <w:p>
      <w:pPr>
        <w:pStyle w:val="Compact"/>
        <w:numPr>
          <w:ilvl w:val="0"/>
          <w:numId w:val="1003"/>
        </w:numPr>
      </w:pPr>
      <w:r>
        <w:t xml:space="preserve">no use of the historical Tier 2 constant as measured ISF;</w:t>
      </w:r>
    </w:p>
    <w:p>
      <w:pPr>
        <w:pStyle w:val="Compact"/>
        <w:numPr>
          <w:ilvl w:val="0"/>
          <w:numId w:val="1003"/>
        </w:numPr>
      </w:pPr>
      <w:r>
        <w:t xml:space="preserve">evaluation first in simulation or shadow mode;</w:t>
      </w:r>
    </w:p>
    <w:p>
      <w:pPr>
        <w:pStyle w:val="Compact"/>
        <w:numPr>
          <w:ilvl w:val="0"/>
          <w:numId w:val="1003"/>
        </w:numPr>
      </w:pPr>
      <w:r>
        <w:t xml:space="preserve">prospective validation using confirmed delivery, explicit carbohydrate handling and a design</w:t>
      </w:r>
      <w:r>
        <w:t xml:space="preserve"> </w:t>
      </w:r>
      <w:r>
        <w:t xml:space="preserve">that separates insulin exposure from controller response.</w:t>
      </w:r>
    </w:p>
    <w:p>
      <w:pPr>
        <w:pStyle w:val="FirstParagraph"/>
      </w:pPr>
      <w:r>
        <w:t xml:space="preserve">A prospective study should compare a static profile, v1, v2 and the candidate v-next form on</w:t>
      </w:r>
      <w:r>
        <w:t xml:space="preserve"> </w:t>
      </w:r>
      <w:r>
        <w:t xml:space="preserve">pre-specified safety and glucose outcomes. It should use non-overlapping evaluation periods and</w:t>
      </w:r>
      <w:r>
        <w:t xml:space="preserve"> </w:t>
      </w:r>
      <w:r>
        <w:t xml:space="preserve">report results by TDD, glucose, insulin formulation and controller type.</w:t>
      </w:r>
    </w:p>
    <w:p>
      <w:r>
        <w:pict>
          <v:rect style="width:0;height:1.5pt" o:hralign="center" o:hrstd="t" o:hr="t"/>
        </w:pict>
      </w:r>
    </w:p>
    <w:bookmarkEnd w:id="33"/>
    <w:bookmarkStart w:id="34" w:name="reproducibility"/>
    <w:p>
      <w:pPr>
        <w:pStyle w:val="Heading2"/>
      </w:pPr>
      <w:r>
        <w:t xml:space="preserve">Reproducibility</w:t>
      </w:r>
    </w:p>
    <w:p>
      <w:pPr>
        <w:pStyle w:val="Compact"/>
        <w:numPr>
          <w:ilvl w:val="0"/>
          <w:numId w:val="1004"/>
        </w:numPr>
      </w:pPr>
      <w:r>
        <w:t xml:space="preserve">Equations and tests:</w:t>
      </w:r>
      <w:r>
        <w:t xml:space="preserve"> </w:t>
      </w:r>
      <w:r>
        <w:rPr>
          <w:rStyle w:val="VerbatimChar"/>
        </w:rPr>
        <w:t xml:space="preserve">inv008/dynisf.py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inv008/tests/</w:t>
      </w:r>
    </w:p>
    <w:p>
      <w:pPr>
        <w:pStyle w:val="Compact"/>
        <w:numPr>
          <w:ilvl w:val="0"/>
          <w:numId w:val="1004"/>
        </w:numPr>
      </w:pPr>
      <w:r>
        <w:t xml:space="preserve">Historical candidate search:</w:t>
      </w:r>
      <w:r>
        <w:t xml:space="preserve"> </w:t>
      </w:r>
      <w:r>
        <w:rPr>
          <w:rStyle w:val="VerbatimChar"/>
        </w:rPr>
        <w:t xml:space="preserve">fit_best_isf.py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results/best_isf_fit_results.{json,md}</w:t>
      </w:r>
    </w:p>
    <w:p>
      <w:pPr>
        <w:pStyle w:val="Compact"/>
        <w:numPr>
          <w:ilvl w:val="0"/>
          <w:numId w:val="1004"/>
        </w:numPr>
      </w:pPr>
      <w:r>
        <w:t xml:space="preserve">Predictive glucose-shape test:</w:t>
      </w:r>
      <w:r>
        <w:t xml:space="preserve"> </w:t>
      </w:r>
      <w:r>
        <w:rPr>
          <w:rStyle w:val="VerbatimChar"/>
        </w:rPr>
        <w:t xml:space="preserve">inv008/gradient_isf_fit.py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results/gradient_isf_fit.{json,md}</w:t>
      </w:r>
    </w:p>
    <w:p>
      <w:pPr>
        <w:pStyle w:val="Compact"/>
        <w:numPr>
          <w:ilvl w:val="0"/>
          <w:numId w:val="1004"/>
        </w:numPr>
      </w:pPr>
      <w:r>
        <w:t xml:space="preserve">Same-window comparison:</w:t>
      </w:r>
      <w:r>
        <w:t xml:space="preserve"> </w:t>
      </w:r>
      <w:r>
        <w:rPr>
          <w:rStyle w:val="VerbatimChar"/>
        </w:rPr>
        <w:t xml:space="preserve">inv008/head_to_head.py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results/head_to_head.{json,md}</w:t>
      </w:r>
    </w:p>
    <w:p>
      <w:pPr>
        <w:pStyle w:val="Compact"/>
        <w:numPr>
          <w:ilvl w:val="0"/>
          <w:numId w:val="1004"/>
        </w:numPr>
      </w:pPr>
      <w:r>
        <w:t xml:space="preserve">Audit:</w:t>
      </w:r>
      <w:r>
        <w:t xml:space="preserve"> </w:t>
      </w:r>
      <w:r>
        <w:rPr>
          <w:rStyle w:val="VerbatimChar"/>
        </w:rPr>
        <w:t xml:space="preserve">DYNAMIC-ISF-AUDIT-2026-09.md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12" Target="media/rId12.png" Type="http://schemas.openxmlformats.org/officeDocument/2006/relationships/image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2026-09-16T16:05:29Z</dcterms:created>
  <dcterms:modified xsi:type="dcterms:W3CDTF">2026-09-16T16:05:29Z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