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5063d5a2dda5ec903e1f79684071b6c2292074"/>
    <w:p>
      <w:pPr>
        <w:pStyle w:val="Heading1"/>
      </w:pPr>
      <w:r>
        <w:t xml:space="preserve">Dynamic ISF: can sensitivity be derived from closed-loop data?</w:t>
      </w:r>
    </w:p>
    <w:p>
      <w:pPr>
        <w:pStyle w:val="FirstParagraph"/>
      </w:pPr>
      <w:r>
        <w:rPr>
          <w:b/>
          <w:bCs/>
        </w:rPr>
        <w:t xml:space="preserve">2026-06-07; audited 2026-09-16</w:t>
      </w:r>
      <w:r>
        <w:t xml:space="preserve"> </w:t>
      </w:r>
      <w:r>
        <w:t xml:space="preserve">· Tim Street / Claude</w:t>
      </w:r>
    </w:p>
    <w:p>
      <w:pPr>
        <w:pStyle w:val="BlockText"/>
      </w:pPr>
      <w:r>
        <w:t xml:space="preserve">This is the corrected evidence summary for the historical feasibility work. The original</w:t>
      </w:r>
      <w:r>
        <w:t xml:space="preserve"> </w:t>
      </w:r>
      <w:r>
        <w:t xml:space="preserve">physiological constants and dosing recommendations are withdrawn. See</w:t>
      </w:r>
      <w:r>
        <w:t xml:space="preserve"> </w:t>
      </w:r>
      <w:r>
        <w:rPr>
          <w:rStyle w:val="VerbatimChar"/>
        </w:rPr>
        <w:t xml:space="preserve">DYNAMIC-ISF-AUDIT-2026-09.md</w:t>
      </w:r>
      <w:r>
        <w:t xml:space="preserve"> </w:t>
      </w:r>
      <w:r>
        <w:t xml:space="preserve">for the full review.</w:t>
      </w:r>
    </w:p>
    <w:p>
      <w:r>
        <w:pict>
          <v:rect style="width:0;height:1.5pt" o:hralign="center" o:hrstd="t" o:hr="t"/>
        </w:pict>
      </w:r>
    </w:p>
    <w:bookmarkStart w:id="9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Can a person's physiological insulin sensitivity factor be calculated from routine closed-loop</w:t>
      </w:r>
      <w:r>
        <w:t xml:space="preserve"> </w:t>
      </w:r>
      <w:r>
        <w:t xml:space="preserve">glucose, IOB and delivery records well enough to replace an entered ISF?</w:t>
      </w:r>
    </w:p>
    <w:bookmarkEnd w:id="9"/>
    <w:bookmarkStart w:id="1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Not with the estimators tested here.</w:t>
      </w:r>
    </w:p>
    <w:p>
      <w:pPr>
        <w:pStyle w:val="BodyText"/>
      </w:pPr>
      <w:r>
        <w:t xml:space="preserve">The analyses can calculate useful outcome proxies. They can compare equations, describe entered</w:t>
      </w:r>
      <w:r>
        <w:t xml:space="preserve"> </w:t>
      </w:r>
      <w:r>
        <w:t xml:space="preserve">settings and test prediction error inside a loop model. They do not isolate the glucose effect of</w:t>
      </w:r>
      <w:r>
        <w:t xml:space="preserve"> </w:t>
      </w:r>
      <w:r>
        <w:t xml:space="preserve">absorbed insulin from new insulin delivery, controller response, basal need, endogenous glucose</w:t>
      </w:r>
      <w:r>
        <w:t xml:space="preserve"> </w:t>
      </w:r>
      <w:r>
        <w:t xml:space="preserve">and residual carbohydrate action. The resulting coefficient should not be called measured ISF.</w:t>
      </w:r>
    </w:p>
    <w:p>
      <w:r>
        <w:pict>
          <v:rect style="width:0;height:1.5pt" o:hralign="center" o:hrstd="t" o:hr="t"/>
        </w:pict>
      </w:r>
    </w:p>
    <w:bookmarkEnd w:id="10"/>
    <w:bookmarkStart w:id="11" w:name="what-the-historical-programme-measured"/>
    <w:p>
      <w:pPr>
        <w:pStyle w:val="Heading2"/>
      </w:pPr>
      <w:r>
        <w:t xml:space="preserve">What the historical programme measured</w:t>
      </w:r>
    </w:p>
    <w:p>
      <w:pPr>
        <w:pStyle w:val="FirstParagraph"/>
      </w:pPr>
      <w:r>
        <w:t xml:space="preserve">The work used 138 people from open-source AID cohorts and a series of related analyses. The table</w:t>
      </w:r>
      <w:r>
        <w:t xml:space="preserve"> </w:t>
      </w:r>
      <w:r>
        <w:t xml:space="preserve">below describes the original outputs using their corrected interpretation.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historical result</w:t>
            </w:r>
          </w:p>
        </w:tc>
        <w:tc>
          <w:tcPr/>
          <w:p>
            <w:pPr>
              <w:pStyle w:val="Compact"/>
            </w:pPr>
            <w:r>
              <w:t xml:space="preserve">audited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short-window stability</w:t>
            </w:r>
          </w:p>
        </w:tc>
        <w:tc>
          <w:tcPr/>
          <w:p>
            <w:pPr>
              <w:pStyle w:val="Compact"/>
            </w:pPr>
            <w:r>
              <w:t xml:space="preserve">14-day estimates varied markedly between blocks</w:t>
            </w:r>
          </w:p>
        </w:tc>
        <w:tc>
          <w:tcPr/>
          <w:p>
            <w:pPr>
              <w:pStyle w:val="Compact"/>
            </w:pPr>
            <w:r>
              <w:t xml:space="preserve">the proxy is too unstable for direct dosing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 decomposition</w:t>
            </w:r>
          </w:p>
        </w:tc>
        <w:tc>
          <w:tcPr/>
          <w:p>
            <w:pPr>
              <w:pStyle w:val="Compact"/>
            </w:pPr>
            <w:r>
              <w:t xml:space="preserve">most short-term variation appeared residual</w:t>
            </w:r>
          </w:p>
        </w:tc>
        <w:tc>
          <w:tcPr/>
          <w:p>
            <w:pPr>
              <w:pStyle w:val="Compact"/>
            </w:pPr>
            <w:r>
              <w:t xml:space="preserve">this may be estimator noise and controller feedback, not biological sensitivity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shrinkage</w:t>
            </w:r>
          </w:p>
        </w:tc>
        <w:tc>
          <w:tcPr/>
          <w:p>
            <w:pPr>
              <w:pStyle w:val="Compact"/>
            </w:pPr>
            <w:r>
              <w:t xml:space="preserve">longer windows and population shrinkage improved repeatability</w:t>
            </w:r>
          </w:p>
        </w:tc>
        <w:tc>
          <w:tcPr/>
          <w:p>
            <w:pPr>
              <w:pStyle w:val="Compact"/>
            </w:pPr>
            <w:r>
              <w:t xml:space="preserve">repeatability of a proxy does not establish physiological validity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association</w:t>
            </w:r>
          </w:p>
        </w:tc>
        <w:tc>
          <w:tcPr/>
          <w:p>
            <w:pPr>
              <w:pStyle w:val="Compact"/>
            </w:pPr>
            <w:r>
              <w:t xml:space="preserve">the proxy was associated with existing low-glucose outcomes</w:t>
            </w:r>
          </w:p>
        </w:tc>
        <w:tc>
          <w:tcPr/>
          <w:p>
            <w:pPr>
              <w:pStyle w:val="Compact"/>
            </w:pPr>
            <w:r>
              <w:t xml:space="preserve">this is evidence of endogeneity and makes causal dosing use unsafe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overnight restriction</w:t>
            </w:r>
          </w:p>
        </w:tc>
        <w:tc>
          <w:tcPr/>
          <w:p>
            <w:pPr>
              <w:pStyle w:val="Compact"/>
            </w:pPr>
            <w:r>
              <w:t xml:space="preserve">the same bias remained overnight</w:t>
            </w:r>
          </w:p>
        </w:tc>
        <w:tc>
          <w:tcPr/>
          <w:p>
            <w:pPr>
              <w:pStyle w:val="Compact"/>
            </w:pPr>
            <w:r>
              <w:t xml:space="preserve">removing obvious meals did not identify insulin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outcome-based adjustment</w:t>
            </w:r>
          </w:p>
        </w:tc>
        <w:tc>
          <w:tcPr/>
          <w:p>
            <w:pPr>
              <w:pStyle w:val="Compact"/>
            </w:pPr>
            <w:r>
              <w:t xml:space="preserve">bounded outcome tuning reduced the recorded hypo signature</w:t>
            </w:r>
          </w:p>
        </w:tc>
        <w:tc>
          <w:tcPr/>
          <w:p>
            <w:pPr>
              <w:pStyle w:val="Compact"/>
            </w:pPr>
            <w:r>
              <w:t xml:space="preserve">this is a separate control strategy, not validation of the ISF proxy</w:t>
            </w:r>
          </w:p>
        </w:tc>
      </w:tr>
    </w:tbl>
    <w:p>
      <w:pPr>
        <w:pStyle w:val="BodyText"/>
      </w:pPr>
      <w:r>
        <w:t xml:space="preserve">The original work described a square-root TDD relationship and constants near 355 for entered</w:t>
      </w:r>
      <w:r>
        <w:t xml:space="preserve"> </w:t>
      </w:r>
      <w:r>
        <w:t xml:space="preserve">profiles and 145 for the change-in-IOB proxy. Those numbers remain reproducible descriptions of</w:t>
      </w:r>
      <w:r>
        <w:t xml:space="preserve"> </w:t>
      </w:r>
      <w:r>
        <w:t xml:space="preserve">their targets. They are not physiological constants and should not be used as dosing defaults.</w:t>
      </w:r>
    </w:p>
    <w:p>
      <w:r>
        <w:pict>
          <v:rect style="width:0;height:1.5pt" o:hralign="center" o:hrstd="t" o:hr="t"/>
        </w:pict>
      </w:r>
    </w:p>
    <w:bookmarkEnd w:id="11"/>
    <w:bookmarkStart w:id="12" w:name="why-the-estimator-does-not-identify-isf"/>
    <w:p>
      <w:pPr>
        <w:pStyle w:val="Heading2"/>
      </w:pPr>
      <w:r>
        <w:t xml:space="preserve">Why the estimator does not identify ISF</w:t>
      </w:r>
    </w:p>
    <w:p>
      <w:pPr>
        <w:pStyle w:val="FirstParagraph"/>
      </w:pPr>
      <w:r>
        <w:t xml:space="preserve">The historical regression related glucose change to change in modelled IOB during a fasting</w:t>
      </w:r>
      <w:r>
        <w:t xml:space="preserve"> </w:t>
      </w:r>
      <w:r>
        <w:t xml:space="preserve">window. That seems intuitive, but three quantities are mixed together:</w:t>
      </w:r>
    </w:p>
    <w:p>
      <w:pPr>
        <w:pStyle w:val="Compact"/>
        <w:numPr>
          <w:ilvl w:val="0"/>
          <w:numId w:val="1001"/>
        </w:numPr>
      </w:pPr>
      <w:r>
        <w:t xml:space="preserve">insulin already active at the beginning of the window;</w:t>
      </w:r>
    </w:p>
    <w:p>
      <w:pPr>
        <w:pStyle w:val="Compact"/>
        <w:numPr>
          <w:ilvl w:val="0"/>
          <w:numId w:val="1001"/>
        </w:numPr>
      </w:pPr>
      <w:r>
        <w:t xml:space="preserve">new bolus and temporary-basal insulin delivered during the window;</w:t>
      </w:r>
    </w:p>
    <w:p>
      <w:pPr>
        <w:pStyle w:val="Compact"/>
        <w:numPr>
          <w:ilvl w:val="0"/>
          <w:numId w:val="1001"/>
        </w:numPr>
      </w:pPr>
      <w:r>
        <w:t xml:space="preserve">insulin leaving the modelled IOB curve as time passes.</w:t>
      </w:r>
    </w:p>
    <w:p>
      <w:pPr>
        <w:pStyle w:val="FirstParagraph"/>
      </w:pPr>
      <w:r>
        <w:t xml:space="preserve">The controller changes the second quantity in response to glucose and trend. The exposure is</w:t>
      </w:r>
      <w:r>
        <w:t xml:space="preserve"> </w:t>
      </w:r>
      <w:r>
        <w:t xml:space="preserve">therefore selected by the same process that is trying to correct the outcome. A coefficient from</w:t>
      </w:r>
      <w:r>
        <w:t xml:space="preserve"> </w:t>
      </w:r>
      <w:r>
        <w:t xml:space="preserve">that regression cannot, by itself, be interpreted as glucose lowering per unit of absorbed</w:t>
      </w:r>
      <w:r>
        <w:t xml:space="preserve"> </w:t>
      </w:r>
      <w:r>
        <w:t xml:space="preserve">insulin.</w:t>
      </w:r>
    </w:p>
    <w:p>
      <w:pPr>
        <w:pStyle w:val="BodyText"/>
      </w:pPr>
      <w:r>
        <w:t xml:space="preserve">The later action-balance estimator does not remove the problem. Its IOB is generated by an assumed</w:t>
      </w:r>
      <w:r>
        <w:t xml:space="preserve"> </w:t>
      </w:r>
      <w:r>
        <w:t xml:space="preserve">insulin-action model, and its delivery term includes suggested SMB and temporary basal rather than</w:t>
      </w:r>
      <w:r>
        <w:t xml:space="preserve"> </w:t>
      </w:r>
      <w:r>
        <w:t xml:space="preserve">confirmed enacted delivery in every record. It is a second observational proxy, not an independent</w:t>
      </w:r>
      <w:r>
        <w:t xml:space="preserve"> </w:t>
      </w:r>
      <w:r>
        <w:t xml:space="preserve">ground truth.</w:t>
      </w:r>
    </w:p>
    <w:p>
      <w:r>
        <w:pict>
          <v:rect style="width:0;height:1.5pt" o:hralign="center" o:hrstd="t" o:hr="t"/>
        </w:pict>
      </w:r>
    </w:p>
    <w:bookmarkEnd w:id="12"/>
    <w:bookmarkStart w:id="17" w:name="what-remains-supported"/>
    <w:p>
      <w:pPr>
        <w:pStyle w:val="Heading2"/>
      </w:pPr>
      <w:r>
        <w:t xml:space="preserve">What remains supported</w:t>
      </w:r>
    </w:p>
    <w:bookmarkStart w:id="13" w:name="X80bcfa35dc1ffe7a8c2ec70825124dc8da4de4f"/>
    <w:p>
      <w:pPr>
        <w:pStyle w:val="Heading3"/>
      </w:pPr>
      <w:r>
        <w:t xml:space="preserve">The equation implementations are auditable</w:t>
      </w:r>
    </w:p>
    <w:p>
      <w:pPr>
        <w:pStyle w:val="FirstParagraph"/>
      </w:pPr>
      <w:r>
        <w:t xml:space="preserve">The Python implementation reproduces the intended v1 and author-confirmed v2 equations. V2 uses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and floors glucose at</w:t>
      </w:r>
      <w:r>
        <w:t xml:space="preserve"> </w:t>
      </w:r>
      <w:r>
        <w:rPr>
          <w:rStyle w:val="VerbatimChar"/>
        </w:rPr>
        <w:t xml:space="preserve">divisor+1</w:t>
      </w:r>
      <w:r>
        <w:t xml:space="preserve">. For the standard rapid-acting</w:t>
      </w:r>
      <w:r>
        <w:t xml:space="preserve"> </w:t>
      </w:r>
      <w:r>
        <w:t xml:space="preserve">configuration, including NovoRapid, that is divisor/floor 75/76.</w:t>
      </w:r>
    </w:p>
    <w:bookmarkEnd w:id="13"/>
    <w:bookmarkStart w:id="14" w:name="X0b3ad0025cb984006aa73620b39d45c6df2e48e"/>
    <w:p>
      <w:pPr>
        <w:pStyle w:val="Heading3"/>
      </w:pPr>
      <w:r>
        <w:t xml:space="preserve">Static ISF is competitive in the tested prediction model</w:t>
      </w:r>
    </w:p>
    <w:p>
      <w:pPr>
        <w:pStyle w:val="FirstParagraph"/>
      </w:pPr>
      <w:r>
        <w:t xml:space="preserve">In selected overnight windows, a person's tuned static ISF predicted the realised end glucose</w:t>
      </w:r>
      <w:r>
        <w:t xml:space="preserve"> </w:t>
      </w:r>
      <w:r>
        <w:t xml:space="preserve">about as well as the loop's own calibrated ISF and better than either dynamic equation. This is a</w:t>
      </w:r>
      <w:r>
        <w:t xml:space="preserve"> </w:t>
      </w:r>
      <w:r>
        <w:t xml:space="preserve">within-loop prediction result. It does not measure the biological ISF level.</w:t>
      </w:r>
    </w:p>
    <w:bookmarkEnd w:id="14"/>
    <w:bookmarkStart w:id="15" w:name="X478608c24aa0c7fd5103353201bc91b5f7f38d5"/>
    <w:p>
      <w:pPr>
        <w:pStyle w:val="Heading3"/>
      </w:pPr>
      <w:r>
        <w:t xml:space="preserve">The tested data do not support a glucose multiplier</w:t>
      </w:r>
    </w:p>
    <w:p>
      <w:pPr>
        <w:pStyle w:val="FirstParagraph"/>
      </w:pPr>
      <w:r>
        <w:t xml:space="preserve">With contiguous time-fold validation, the best fitted glucose exponent remained zero and the</w:t>
      </w:r>
      <w:r>
        <w:t xml:space="preserve"> </w:t>
      </w:r>
      <w:r>
        <w:t xml:space="preserve">glucose term improved median absolute error by 0.0 mg/dL. Within these data and this prediction</w:t>
      </w:r>
      <w:r>
        <w:t xml:space="preserve"> </w:t>
      </w:r>
      <w:r>
        <w:t xml:space="preserve">model, adding glucose-dependent sensitivity did not help.</w:t>
      </w:r>
    </w:p>
    <w:bookmarkEnd w:id="15"/>
    <w:bookmarkStart w:id="16" w:name="Xb4f2622233bf55b09a6017551a3e3252e79c5db"/>
    <w:p>
      <w:pPr>
        <w:pStyle w:val="Heading3"/>
      </w:pPr>
      <w:r>
        <w:t xml:space="preserve">Residual carbohydrate is a credible explanation</w:t>
      </w:r>
    </w:p>
    <w:p>
      <w:pPr>
        <w:pStyle w:val="FirstParagraph"/>
      </w:pPr>
      <w:r>
        <w:t xml:space="preserve">Separate post-COB analyses found lower apparent insulin effect soon after recorded COB cleared.</w:t>
      </w:r>
      <w:r>
        <w:t xml:space="preserve"> </w:t>
      </w:r>
      <w:r>
        <w:t xml:space="preserve">This is consistent with carbohydrate absorption continuing after the controller's COB model has</w:t>
      </w:r>
      <w:r>
        <w:t xml:space="preserve"> </w:t>
      </w:r>
      <w:r>
        <w:t xml:space="preserve">ended. It supports the hypothesis that some apparent Dynamic ISF behaviour compensates for an</w:t>
      </w:r>
      <w:r>
        <w:t xml:space="preserve"> </w:t>
      </w:r>
      <w:r>
        <w:t xml:space="preserve">imperfect carbohydrate model. It does not prove that every successful use of Dynamic ISF has that</w:t>
      </w:r>
      <w:r>
        <w:t xml:space="preserve"> </w:t>
      </w:r>
      <w:r>
        <w:t xml:space="preserve">cause.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hat-is-withdrawn"/>
    <w:p>
      <w:pPr>
        <w:pStyle w:val="Heading2"/>
      </w:pPr>
      <w:r>
        <w:t xml:space="preserve">What is withdrawn</w:t>
      </w:r>
    </w:p>
    <w:p>
      <w:pPr>
        <w:pStyle w:val="FirstParagraph"/>
      </w:pPr>
      <w:r>
        <w:t xml:space="preserve">The audit withdraws these earlier claims:</w:t>
      </w:r>
    </w:p>
    <w:p>
      <w:pPr>
        <w:pStyle w:val="Compact"/>
        <w:numPr>
          <w:ilvl w:val="0"/>
          <w:numId w:val="1002"/>
        </w:numPr>
      </w:pPr>
      <w:r>
        <w:t xml:space="preserve">that physiological ISF follows</w:t>
      </w:r>
      <w:r>
        <w:t xml:space="preserve"> </w:t>
      </w:r>
      <w:r>
        <w:rPr>
          <w:rStyle w:val="VerbatimChar"/>
        </w:rPr>
        <w:t xml:space="preserve">1/√TDD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that constants derived from the change-in-IOB proxy are measured ISF constants;</w:t>
      </w:r>
    </w:p>
    <w:p>
      <w:pPr>
        <w:pStyle w:val="Compact"/>
        <w:numPr>
          <w:ilvl w:val="0"/>
          <w:numId w:val="1002"/>
        </w:numPr>
      </w:pPr>
      <w:r>
        <w:t xml:space="preserve">that a per-person physiological ISF can be safely calibrated from these closed-loop records;</w:t>
      </w:r>
    </w:p>
    <w:p>
      <w:pPr>
        <w:pStyle w:val="Compact"/>
        <w:numPr>
          <w:ilvl w:val="0"/>
          <w:numId w:val="1002"/>
        </w:numPr>
      </w:pPr>
      <w:r>
        <w:t xml:space="preserve">that the Diabeloop-shaped glucose multiplier is supported by this cohort;</w:t>
      </w:r>
    </w:p>
    <w:p>
      <w:pPr>
        <w:pStyle w:val="Compact"/>
        <w:numPr>
          <w:ilvl w:val="0"/>
          <w:numId w:val="1002"/>
        </w:numPr>
      </w:pPr>
      <w:r>
        <w:t xml:space="preserve">that the historical Tier 1 or Tier 2 v-next forms are ready for live dosing.</w:t>
      </w:r>
    </w:p>
    <w:p>
      <w:pPr>
        <w:pStyle w:val="FirstParagraph"/>
      </w:pPr>
      <w:r>
        <w:t xml:space="preserve">The entered profile ISF remains a description of how people configured their systems. It should</w:t>
      </w:r>
      <w:r>
        <w:t xml:space="preserve"> </w:t>
      </w:r>
      <w:r>
        <w:t xml:space="preserve">not be presented as a biological measurement either.</w:t>
      </w:r>
    </w:p>
    <w:p>
      <w:r>
        <w:pict>
          <v:rect style="width:0;height:1.5pt" o:hralign="center" o:hrstd="t" o:hr="t"/>
        </w:pict>
      </w:r>
    </w:p>
    <w:bookmarkEnd w:id="18"/>
    <w:bookmarkStart w:id="19" w:name="practical-conclusion"/>
    <w:p>
      <w:pPr>
        <w:pStyle w:val="Heading2"/>
      </w:pPr>
      <w:r>
        <w:t xml:space="preserve">Practical conclusion</w:t>
      </w:r>
    </w:p>
    <w:p>
      <w:pPr>
        <w:pStyle w:val="FirstParagraph"/>
      </w:pPr>
      <w:r>
        <w:t xml:space="preserve">Routine closed-loop records are valuable for equation replay, software verification, prediction</w:t>
      </w:r>
      <w:r>
        <w:t xml:space="preserve"> </w:t>
      </w:r>
      <w:r>
        <w:t xml:space="preserve">testing and hypothesis generation. They are not sufficient on their own to recover a causal ISF</w:t>
      </w:r>
      <w:r>
        <w:t xml:space="preserve"> </w:t>
      </w:r>
      <w:r>
        <w:t xml:space="preserve">without a design that separates insulin exposure from controller response and carbohydrate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The next step is prospective validation or a carefully identified natural experiment using:</w:t>
      </w:r>
    </w:p>
    <w:p>
      <w:pPr>
        <w:pStyle w:val="Compact"/>
        <w:numPr>
          <w:ilvl w:val="0"/>
          <w:numId w:val="1003"/>
        </w:numPr>
      </w:pPr>
      <w:r>
        <w:t xml:space="preserve">confirmed bolus and temporary-basal delivery;</w:t>
      </w:r>
    </w:p>
    <w:p>
      <w:pPr>
        <w:pStyle w:val="Compact"/>
        <w:numPr>
          <w:ilvl w:val="0"/>
          <w:numId w:val="1003"/>
        </w:numPr>
      </w:pPr>
      <w:r>
        <w:t xml:space="preserve">a specified insulin-action model and sensitivity analyses across plausible models;</w:t>
      </w:r>
    </w:p>
    <w:p>
      <w:pPr>
        <w:pStyle w:val="Compact"/>
        <w:numPr>
          <w:ilvl w:val="0"/>
          <w:numId w:val="1003"/>
        </w:numPr>
      </w:pPr>
      <w:r>
        <w:t xml:space="preserve">explicit carbohydrate and rescue-treatment handling;</w:t>
      </w:r>
    </w:p>
    <w:p>
      <w:pPr>
        <w:pStyle w:val="Compact"/>
        <w:numPr>
          <w:ilvl w:val="0"/>
          <w:numId w:val="1003"/>
        </w:numPr>
      </w:pPr>
      <w:r>
        <w:t xml:space="preserve">non-overlapping evaluation windows;</w:t>
      </w:r>
    </w:p>
    <w:p>
      <w:pPr>
        <w:pStyle w:val="Compact"/>
        <w:numPr>
          <w:ilvl w:val="0"/>
          <w:numId w:val="1003"/>
        </w:numPr>
      </w:pPr>
      <w:r>
        <w:t xml:space="preserve">a pre-specified static comparator;</w:t>
      </w:r>
    </w:p>
    <w:p>
      <w:pPr>
        <w:pStyle w:val="Compact"/>
        <w:numPr>
          <w:ilvl w:val="0"/>
          <w:numId w:val="1003"/>
        </w:numPr>
      </w:pPr>
      <w:r>
        <w:t xml:space="preserve">safety outcomes as well as prediction error.</w:t>
      </w:r>
    </w:p>
    <w:p>
      <w:pPr>
        <w:pStyle w:val="FirstParagraph"/>
      </w:pPr>
      <w:r>
        <w:t xml:space="preserve">Until then, the historical fitted constants and square-root equation are research findings, not</w:t>
      </w:r>
      <w:r>
        <w:t xml:space="preserve"> </w:t>
      </w:r>
      <w:r>
        <w:t xml:space="preserve">dosing recommendations.</w:t>
      </w:r>
    </w:p>
    <w:p>
      <w:r>
        <w:pict>
          <v:rect style="width:0;height:1.5pt" o:hralign="center" o:hrstd="t" o:hr="t"/>
        </w:pict>
      </w:r>
    </w:p>
    <w:bookmarkEnd w:id="19"/>
    <w:bookmarkStart w:id="20" w:name="reproducibility"/>
    <w:p>
      <w:pPr>
        <w:pStyle w:val="Heading2"/>
      </w:pPr>
      <w:r>
        <w:t xml:space="preserve">Reproducibility</w:t>
      </w:r>
    </w:p>
    <w:p>
      <w:pPr>
        <w:pStyle w:val="Compact"/>
        <w:numPr>
          <w:ilvl w:val="0"/>
          <w:numId w:val="1004"/>
        </w:numPr>
      </w:pPr>
      <w:r>
        <w:t xml:space="preserve">Historical phases:</w:t>
      </w:r>
      <w:r>
        <w:t xml:space="preserve"> </w:t>
      </w:r>
      <w:r>
        <w:rPr>
          <w:rStyle w:val="VerbatimChar"/>
        </w:rPr>
        <w:t xml:space="preserve">inv008/phase{1,2,3,5,6}_*.py</w:t>
      </w:r>
    </w:p>
    <w:p>
      <w:pPr>
        <w:pStyle w:val="Compact"/>
        <w:numPr>
          <w:ilvl w:val="0"/>
          <w:numId w:val="1004"/>
        </w:numPr>
      </w:pPr>
      <w:r>
        <w:t xml:space="preserve">Same-window comparison:</w:t>
      </w:r>
      <w:r>
        <w:t xml:space="preserve"> </w:t>
      </w:r>
      <w:r>
        <w:rPr>
          <w:rStyle w:val="VerbatimChar"/>
        </w:rPr>
        <w:t xml:space="preserve">inv008/head_to_head.py</w:t>
      </w:r>
    </w:p>
    <w:p>
      <w:pPr>
        <w:pStyle w:val="Compact"/>
        <w:numPr>
          <w:ilvl w:val="0"/>
          <w:numId w:val="1004"/>
        </w:numPr>
      </w:pPr>
      <w:r>
        <w:t xml:space="preserve">Glucose-shape comparison:</w:t>
      </w:r>
      <w:r>
        <w:t xml:space="preserve"> </w:t>
      </w:r>
      <w:r>
        <w:rPr>
          <w:rStyle w:val="VerbatimChar"/>
        </w:rPr>
        <w:t xml:space="preserve">inv008/gradient_isf_fit.py</w:t>
      </w:r>
    </w:p>
    <w:p>
      <w:pPr>
        <w:pStyle w:val="Compact"/>
        <w:numPr>
          <w:ilvl w:val="0"/>
          <w:numId w:val="1004"/>
        </w:numPr>
      </w:pPr>
      <w:r>
        <w:t xml:space="preserve">Post-COB analysis:</w:t>
      </w:r>
      <w:r>
        <w:t xml:space="preserve"> </w:t>
      </w:r>
      <w:r>
        <w:rPr>
          <w:rStyle w:val="VerbatimChar"/>
        </w:rPr>
        <w:t xml:space="preserve">inv008/post_cob_isf.py</w:t>
      </w:r>
    </w:p>
    <w:p>
      <w:pPr>
        <w:pStyle w:val="Compact"/>
        <w:numPr>
          <w:ilvl w:val="0"/>
          <w:numId w:val="1004"/>
        </w:numPr>
      </w:pPr>
      <w:r>
        <w:t xml:space="preserve">Audit:</w:t>
      </w:r>
      <w:r>
        <w:t xml:space="preserve"> </w:t>
      </w:r>
      <w:r>
        <w:rPr>
          <w:rStyle w:val="VerbatimChar"/>
        </w:rPr>
        <w:t xml:space="preserve">DYNAMIC-ISF-AUDIT-2026-09.md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2026-09-16T14:29:41Z</dcterms:created>
  <dcterms:modified xsi:type="dcterms:W3CDTF">2026-09-16T14:29:41Z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