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Updated constants from data analysis</w:t>
      </w:r>
    </w:p>
    <w:p>
      <w:pPr>
        <w:pStyle w:val="Subtitle"/>
      </w:pPr>
      <w:r>
        <w:t xml:space="preserve">The three Walsh rules recomputed across 719 people in seven cohorts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what-this-replaces"/>
    <w:p>
      <w:pPr>
        <w:pStyle w:val="Heading2"/>
      </w:pPr>
      <w:r>
        <w:t xml:space="preserve">What this replaces</w:t>
      </w:r>
    </w:p>
    <w:p>
      <w:pPr>
        <w:pStyle w:val="FirstParagraph"/>
      </w:pPr>
      <w:r>
        <w:t xml:space="preserve">An analysis in May tested Walsh’s three rules against 138 open-source loop users</w:t>
      </w:r>
      <w:r>
        <w:t xml:space="preserve"> </w:t>
      </w:r>
      <w:r>
        <w:t xml:space="preserve">and found all three wrong, including the parametric form: the slope of log</w:t>
      </w:r>
      <w:r>
        <w:t xml:space="preserve"> </w:t>
      </w:r>
      <w:r>
        <w:t xml:space="preserve">sensitivity on log daily dose came out at -0.43 where the rule implies -1.</w:t>
      </w:r>
    </w:p>
    <w:p>
      <w:pPr>
        <w:pStyle w:val="BodyText"/>
      </w:pPr>
      <w:r>
        <w:t xml:space="preserve">This repeats that work on 719 people. The original 138 are included unchanged, so</w:t>
      </w:r>
      <w:r>
        <w:t xml:space="preserve"> </w:t>
      </w:r>
      <w:r>
        <w:t xml:space="preserve">the earlier result can be read beside the new ones rather than replaced by them,</w:t>
      </w:r>
      <w:r>
        <w:t xml:space="preserve"> </w:t>
      </w:r>
      <w:r>
        <w:t xml:space="preserve">and it reproduces exactly.</w:t>
      </w:r>
    </w:p>
    <w:p>
      <w:pPr>
        <w:pStyle w:val="BodyText"/>
      </w:pPr>
      <w:r>
        <w:t xml:space="preserve">The main finding is one the smaller cohort could not have shown.</w:t>
      </w:r>
      <w:r>
        <w:t xml:space="preserve"> </w:t>
      </w:r>
      <w:r>
        <w:rPr>
          <w:b/>
          <w:bCs/>
        </w:rPr>
        <w:t xml:space="preserve">Walsh’s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constants are close to right for adults and substantially wrong for children</w:t>
      </w:r>
      <w:r>
        <w:t xml:space="preserve">,</w:t>
      </w:r>
      <w:r>
        <w:t xml:space="preserve"> </w:t>
      </w:r>
      <w:r>
        <w:t xml:space="preserve">and the pooled figures everyone quotes, the May analysis included, are driven by</w:t>
      </w:r>
      <w:r>
        <w:t xml:space="preserve"> </w:t>
      </w:r>
      <w:r>
        <w:t xml:space="preserve">which ages happen to be in the sample.</w:t>
      </w:r>
    </w:p>
    <w:bookmarkEnd w:id="9"/>
    <w:bookmarkStart w:id="10" w:name="the-three-constants"/>
    <w:p>
      <w:pPr>
        <w:pStyle w:val="Heading2"/>
      </w:pPr>
      <w:r>
        <w:t xml:space="preserve">The three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Walsh</w:t>
            </w:r>
          </w:p>
        </w:tc>
        <w:tc>
          <w:tcPr/>
          <w:p>
            <w:pPr>
              <w:pStyle w:val="Compact"/>
            </w:pPr>
            <w:r>
              <w:t xml:space="preserve">All 719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Adults only</w:t>
            </w:r>
          </w:p>
        </w:tc>
        <w:tc>
          <w:tcPr/>
          <w:p>
            <w:pPr>
              <w:pStyle w:val="Compact"/>
            </w:pPr>
            <w:r>
              <w:t xml:space="preserve">Under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x daily dose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2108</w:t>
            </w:r>
          </w:p>
        </w:tc>
        <w:tc>
          <w:tcPr/>
          <w:p>
            <w:pPr>
              <w:pStyle w:val="Compact"/>
            </w:pPr>
            <w:r>
              <w:t xml:space="preserve">2048 to 2183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1799</w:t>
            </w:r>
          </w:p>
        </w:tc>
        <w:tc>
          <w:tcPr/>
          <w:p>
            <w:pPr>
              <w:pStyle w:val="Compact"/>
            </w:pPr>
            <w:r>
              <w:t xml:space="preserve">2390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 ratio x daily dose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392 to 422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share of daily dose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0.48 to 0.50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</w:tbl>
    <w:p>
      <w:pPr>
        <w:pStyle w:val="BodyText"/>
      </w:pPr>
      <w:r>
        <w:t xml:space="preserve">Read across the sensitivity row rather than down it. Pooled, the constant sits 24%</w:t>
      </w:r>
      <w:r>
        <w:t xml:space="preserve"> </w:t>
      </w:r>
      <w:r>
        <w:t xml:space="preserve">above Walsh and the interval excludes it. Restricted to adults it lands at 1799,</w:t>
      </w:r>
      <w:r>
        <w:t xml:space="preserve"> </w:t>
      </w:r>
      <w:r>
        <w:t xml:space="preserve">and for people over 45 at 1766 with an interval of 1680 to 1839, which is the one</w:t>
      </w:r>
      <w:r>
        <w:t xml:space="preserve"> </w:t>
      </w:r>
      <w:r>
        <w:t xml:space="preserve">cell in this entire analysis consistent with 1700.</w:t>
      </w:r>
    </w:p>
    <w:p>
      <w:pPr>
        <w:pStyle w:val="BodyText"/>
      </w:pPr>
      <w:r>
        <w:t xml:space="preserve">The carb ratio rule is the clearest failure and the most consistent. At 409 it</w:t>
      </w:r>
      <w:r>
        <w:t xml:space="preserve"> </w:t>
      </w:r>
      <w:r>
        <w:t xml:space="preserve">misses 500 by a fifth in every cohort and at every age, so people enter more</w:t>
      </w:r>
      <w:r>
        <w:t xml:space="preserve"> </w:t>
      </w:r>
      <w:r>
        <w:t xml:space="preserve">insulin per gram than the rule prescribes.</w:t>
      </w:r>
    </w:p>
    <w:p>
      <w:pPr>
        <w:pStyle w:val="BodyText"/>
      </w:pPr>
      <w:r>
        <w:t xml:space="preserve">The basal rule survives. At 0.49 across everyone the interval covers Walsh’s half</w:t>
      </w:r>
      <w:r>
        <w:t xml:space="preserve"> </w:t>
      </w:r>
      <w:r>
        <w:t xml:space="preserve">exactly. That is worth stating plainly, because it is the only one of the three</w:t>
      </w:r>
      <w:r>
        <w:t xml:space="preserve"> </w:t>
      </w:r>
      <w:r>
        <w:t xml:space="preserve">that holds, and it holds despite wide variation underneath it.</w:t>
      </w:r>
    </w:p>
    <w:bookmarkEnd w:id="10"/>
    <w:bookmarkStart w:id="11" w:name="X8d251b48296e6773fbcfc61d494628b0918b7cc"/>
    <w:p>
      <w:pPr>
        <w:pStyle w:val="Heading2"/>
      </w:pPr>
      <w:r>
        <w:t xml:space="preserve">Sensitivity by age, which is where the pooled figure comes from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Consistent with 1700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to 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2163</w:t>
            </w:r>
          </w:p>
        </w:tc>
        <w:tc>
          <w:tcPr/>
          <w:p>
            <w:pPr>
              <w:pStyle w:val="Compact"/>
            </w:pPr>
            <w:r>
              <w:t xml:space="preserve">2045 to 2389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12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2561</w:t>
            </w:r>
          </w:p>
        </w:tc>
        <w:tc>
          <w:tcPr/>
          <w:p>
            <w:pPr>
              <w:pStyle w:val="Compact"/>
            </w:pPr>
            <w:r>
              <w:t xml:space="preserve">2406 to 2695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to 17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2350</w:t>
            </w:r>
          </w:p>
        </w:tc>
        <w:tc>
          <w:tcPr/>
          <w:p>
            <w:pPr>
              <w:pStyle w:val="Compact"/>
            </w:pPr>
            <w:r>
              <w:t xml:space="preserve">2243 to 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to 44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1830</w:t>
            </w:r>
          </w:p>
        </w:tc>
        <w:tc>
          <w:tcPr/>
          <w:p>
            <w:pPr>
              <w:pStyle w:val="Compact"/>
            </w:pPr>
            <w:r>
              <w:t xml:space="preserve">1738 to 1944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1766</w:t>
            </w:r>
          </w:p>
        </w:tc>
        <w:tc>
          <w:tcPr/>
          <w:p>
            <w:pPr>
              <w:pStyle w:val="Compact"/>
            </w:pPr>
            <w:r>
              <w:t xml:space="preserve">1680 to 1839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constant falls steadily from age six onward and only reaches Walsh’s value in</w:t>
      </w:r>
      <w:r>
        <w:t xml:space="preserve"> </w:t>
      </w:r>
      <w:r>
        <w:t xml:space="preserve">the oldest group. A child of ten needs roughly half again the sensitivity factor</w:t>
      </w:r>
      <w:r>
        <w:t xml:space="preserve"> </w:t>
      </w:r>
      <w:r>
        <w:t xml:space="preserve">the rule would give them, which in dosing terms means the rule would correct a</w:t>
      </w:r>
      <w:r>
        <w:t xml:space="preserve"> </w:t>
      </w:r>
      <w:r>
        <w:t xml:space="preserve">child about 50% harder than their own settings say.</w:t>
      </w:r>
    </w:p>
    <w:p>
      <w:pPr>
        <w:pStyle w:val="BodyText"/>
      </w:pPr>
      <w:r>
        <w:t xml:space="preserve">The carb ratio moves the other way and more weakly: 297 at ages 2 to 5, rising to</w:t>
      </w:r>
      <w:r>
        <w:t xml:space="preserve"> </w:t>
      </w:r>
      <w:r>
        <w:t xml:space="preserve">479 by 6 to 12, then settling near 400 in adults. Only the school-age bands are</w:t>
      </w:r>
      <w:r>
        <w:t xml:space="preserve"> </w:t>
      </w:r>
      <w:r>
        <w:t xml:space="preserve">consistent with the 500 rule.</w:t>
      </w:r>
    </w:p>
    <w:bookmarkEnd w:id="11"/>
    <w:bookmarkStart w:id="12" w:name="X3fcdb9c46e4a1047f39a692b50497e3e1c696ac"/>
    <w:p>
      <w:pPr>
        <w:pStyle w:val="Heading2"/>
      </w:pPr>
      <w:r>
        <w:t xml:space="preserve">The parametric form, and a caution about how it is usually tested</w:t>
      </w:r>
    </w:p>
    <w:p>
      <w:pPr>
        <w:pStyle w:val="FirstParagraph"/>
      </w:pPr>
      <w:r>
        <w:t xml:space="preserve">Walsh’s rule implies that sensitivity is inversely proportional to daily dose, so</w:t>
      </w:r>
      <w:r>
        <w:t xml:space="preserve"> </w:t>
      </w:r>
      <w:r>
        <w:t xml:space="preserve">a log-log slope of exactly -1.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Excludes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JAEB pooled</w:t>
            </w:r>
          </w:p>
        </w:tc>
        <w:tc>
          <w:tcPr/>
          <w:p>
            <w:pPr>
              <w:pStyle w:val="Compact"/>
            </w:pPr>
            <w:r>
              <w:t xml:space="preserve">581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-1.03 to -0.93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adults only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-0.82 to -0.65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under 18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-0.96 to -0.85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OpenAPS Commons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-0.59 to -0.27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-0.93 to -0.82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pooled JAEB slope of -0.98 looks like a confirmation of Walsh and is not one.</w:t>
      </w:r>
      <w:r>
        <w:t xml:space="preserve"> </w:t>
      </w:r>
      <w:r>
        <w:t xml:space="preserve">Restricting the same people to adults moves it to -0.73. What produces the tidy</w:t>
      </w:r>
      <w:r>
        <w:t xml:space="preserve"> </w:t>
      </w:r>
      <w:r>
        <w:t xml:space="preserve">-1 is mixing young children, who use little insulin and have high sensitivity</w:t>
      </w:r>
      <w:r>
        <w:t xml:space="preserve"> </w:t>
      </w:r>
      <w:r>
        <w:t xml:space="preserve">factors, with adults who do neither. Between-group differences in level create a</w:t>
      </w:r>
      <w:r>
        <w:t xml:space="preserve"> </w:t>
      </w:r>
      <w:r>
        <w:t xml:space="preserve">gradient that has nothing to do with how sensitivity varies within anybody.</w:t>
      </w:r>
    </w:p>
    <w:p>
      <w:pPr>
        <w:pStyle w:val="BodyText"/>
      </w:pPr>
      <w:r>
        <w:t xml:space="preserve">This is not a range effect. The v7 and Loop cohorts span an identical spread of</w:t>
      </w:r>
      <w:r>
        <w:t xml:space="preserve"> </w:t>
      </w:r>
      <w:r>
        <w:t xml:space="preserve">daily doses, 1.43 in logs, and return slopes of -0.46 and -0.94.</w:t>
      </w:r>
    </w:p>
    <w:p>
      <w:pPr>
        <w:pStyle w:val="BodyText"/>
      </w:pPr>
      <w:r>
        <w:t xml:space="preserve">So a validation of the 1700 rule performed on a mixed-age cohort will tend to</w:t>
      </w:r>
      <w:r>
        <w:t xml:space="preserve"> </w:t>
      </w:r>
      <w:r>
        <w:t xml:space="preserve">confirm it, and the confirmation will be an artefact of composition. That is the</w:t>
      </w:r>
      <w:r>
        <w:t xml:space="preserve"> </w:t>
      </w:r>
      <w:r>
        <w:t xml:space="preserve">methodological point of this analysis and it applies to the May result as much as</w:t>
      </w:r>
      <w:r>
        <w:t xml:space="preserve"> </w:t>
      </w:r>
      <w:r>
        <w:t xml:space="preserve">to anyone else’s.</w:t>
      </w:r>
    </w:p>
    <w:bookmarkEnd w:id="12"/>
    <w:bookmarkStart w:id="13" w:name="results-by-cohort"/>
    <w:p>
      <w:pPr>
        <w:pStyle w:val="Heading2"/>
      </w:pPr>
      <w:r>
        <w:t xml:space="preserve">Results by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2043 (1913 to 2249)</w:t>
            </w:r>
          </w:p>
        </w:tc>
        <w:tc>
          <w:tcPr/>
          <w:p>
            <w:pPr>
              <w:pStyle w:val="Compact"/>
            </w:pPr>
            <w:r>
              <w:t xml:space="preserve">375 (357 to 407)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1853 (1791 to 1936)</w:t>
            </w:r>
          </w:p>
        </w:tc>
        <w:tc>
          <w:tcPr/>
          <w:p>
            <w:pPr>
              <w:pStyle w:val="Compact"/>
            </w:pPr>
            <w:r>
              <w:t xml:space="preserve">431 (410 to 460)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2429 (2306 to 2580)</w:t>
            </w:r>
          </w:p>
        </w:tc>
        <w:tc>
          <w:tcPr/>
          <w:p>
            <w:pPr>
              <w:pStyle w:val="Compact"/>
            </w:pPr>
            <w:r>
              <w:t xml:space="preserve">513 (479 to 542)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2162 (2045 to 2317)</w:t>
            </w:r>
          </w:p>
        </w:tc>
        <w:tc>
          <w:tcPr/>
          <w:p>
            <w:pPr>
              <w:pStyle w:val="Compact"/>
            </w:pPr>
            <w:r>
              <w:t xml:space="preserve">291 (266 to 317)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Trio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2682 (2216 to 2962)</w:t>
            </w:r>
          </w:p>
        </w:tc>
        <w:tc>
          <w:tcPr/>
          <w:p>
            <w:pPr>
              <w:pStyle w:val="Compact"/>
            </w:pPr>
            <w:r>
              <w:t xml:space="preserve">373 (279 to 459)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AAPS classic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2953 (2201 to 5713)</w:t>
            </w:r>
          </w:p>
        </w:tc>
        <w:tc>
          <w:tcPr/>
          <w:p>
            <w:pPr>
              <w:pStyle w:val="Compact"/>
            </w:pPr>
            <w:r>
              <w:t xml:space="preserve">526 (409 to 607)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oref0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2164 (2044 to 2566)</w:t>
            </w:r>
          </w:p>
        </w:tc>
        <w:tc>
          <w:tcPr/>
          <w:p>
            <w:pPr>
              <w:pStyle w:val="Compact"/>
            </w:pPr>
            <w:r>
              <w:t xml:space="preserve">387 (315 to 436)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</w:tr>
    </w:tbl>
    <w:p>
      <w:pPr>
        <w:pStyle w:val="BodyText"/>
      </w:pPr>
      <w:r>
        <w:t xml:space="preserve">DCLP3 and IOBP2 are absent because neither release ships a settings file. The</w:t>
      </w:r>
      <w:r>
        <w:t xml:space="preserve"> </w:t>
      </w:r>
      <w:r>
        <w:t xml:space="preserve">bionic pancreas has no sensitivity factor to record by design.</w:t>
      </w:r>
    </w:p>
    <w:p>
      <w:pPr>
        <w:pStyle w:val="BodyText"/>
      </w:pPr>
      <w:r>
        <w:t xml:space="preserve">Three cohort-level observations.</w:t>
      </w:r>
    </w:p>
    <w:p>
      <w:pPr>
        <w:pStyle w:val="BodyText"/>
      </w:pPr>
      <w:r>
        <w:t xml:space="preserve">The paediatric cohorts differ from each other more than from the adults. PEDAP,</w:t>
      </w:r>
      <w:r>
        <w:t xml:space="preserve"> </w:t>
      </w:r>
      <w:r>
        <w:t xml:space="preserve">ages 2 to 5, has the lowest carb ratio constant at 291 and the lowest basal share</w:t>
      </w:r>
      <w:r>
        <w:t xml:space="preserve"> </w:t>
      </w:r>
      <w:r>
        <w:t xml:space="preserve">at 0.41. DCLP5, ages 6 to 13, has the highest sensitivity constant among the</w:t>
      </w:r>
      <w:r>
        <w:t xml:space="preserve"> </w:t>
      </w:r>
      <w:r>
        <w:t xml:space="preserve">paediatric groups at 2429 and a carb ratio constant of 513 that is consistent</w:t>
      </w:r>
      <w:r>
        <w:t xml:space="preserve"> </w:t>
      </w:r>
      <w:r>
        <w:t xml:space="preserve">with Walsh.</w:t>
      </w:r>
    </w:p>
    <w:p>
      <w:pPr>
        <w:pStyle w:val="BodyText"/>
      </w:pPr>
      <w:r>
        <w:t xml:space="preserve">Loop’s basal share of 0.58 is the highest here and the furthest from Walsh. It is</w:t>
      </w:r>
      <w:r>
        <w:t xml:space="preserve"> </w:t>
      </w:r>
      <w:r>
        <w:t xml:space="preserve">also a delivered share rather than a programmed one, and under an automated</w:t>
      </w:r>
      <w:r>
        <w:t xml:space="preserve"> </w:t>
      </w:r>
      <w:r>
        <w:t xml:space="preserve">system those differ, so it is not directly comparable to the OpenAPS Commons</w:t>
      </w:r>
      <w:r>
        <w:t xml:space="preserve"> </w:t>
      </w:r>
      <w:r>
        <w:t xml:space="preserve">figures, which are programmed.</w:t>
      </w:r>
    </w:p>
    <w:p>
      <w:pPr>
        <w:pStyle w:val="BodyText"/>
      </w:pPr>
      <w:r>
        <w:t xml:space="preserve">The three OpenAPS Commons cohorts all have shallow slopes, from -0.03 to -0.53,</w:t>
      </w:r>
      <w:r>
        <w:t xml:space="preserve"> </w:t>
      </w:r>
      <w:r>
        <w:t xml:space="preserve">while the JAEB cohorts sit between -0.72 and -1.00. These are people who have</w:t>
      </w:r>
      <w:r>
        <w:t xml:space="preserve"> </w:t>
      </w:r>
      <w:r>
        <w:t xml:space="preserve">tuned settings themselves over years against people whose settings came from a</w:t>
      </w:r>
      <w:r>
        <w:t xml:space="preserve"> </w:t>
      </w:r>
      <w:r>
        <w:t xml:space="preserve">clinic within a trial. A rule fits best where people follow it.</w:t>
      </w:r>
    </w:p>
    <w:bookmarkEnd w:id="13"/>
    <w:bookmarkStart w:id="14" w:name="what-to-do-with-this"/>
    <w:p>
      <w:pPr>
        <w:pStyle w:val="Heading2"/>
      </w:pPr>
      <w:r>
        <w:t xml:space="preserve">What to do with this</w:t>
      </w:r>
    </w:p>
    <w:p>
      <w:pPr>
        <w:pStyle w:val="FirstParagraph"/>
      </w:pPr>
      <w:r>
        <w:t xml:space="preserve">For an adult, 1700 divided by daily dose remains a defensible starting sensitivity</w:t>
      </w:r>
      <w:r>
        <w:t xml:space="preserve"> </w:t>
      </w:r>
      <w:r>
        <w:t xml:space="preserve">factor and the data supports it more than the May analysis suggested. For a child</w:t>
      </w:r>
      <w:r>
        <w:t xml:space="preserve"> </w:t>
      </w:r>
      <w:r>
        <w:t xml:space="preserve">it is too aggressive by roughly a third, and the gap widens through the school-age</w:t>
      </w:r>
      <w:r>
        <w:t xml:space="preserve"> </w:t>
      </w:r>
      <w:r>
        <w:t xml:space="preserve">years.</w:t>
      </w:r>
    </w:p>
    <w:p>
      <w:pPr>
        <w:pStyle w:val="BodyText"/>
      </w:pPr>
      <w:r>
        <w:t xml:space="preserve">The 500 rule should be about 400 for adults. The half-of-daily-dose basal</w:t>
      </w:r>
      <w:r>
        <w:t xml:space="preserve"> </w:t>
      </w:r>
      <w:r>
        <w:t xml:space="preserve">convention can stay as it is.</w:t>
      </w:r>
    </w:p>
    <w:p>
      <w:pPr>
        <w:pStyle w:val="BodyText"/>
      </w:pPr>
      <w:r>
        <w:t xml:space="preserve">None of these are settings to hold to. INV-009 measured the spread of what people</w:t>
      </w:r>
      <w:r>
        <w:t xml:space="preserve"> </w:t>
      </w:r>
      <w:r>
        <w:t xml:space="preserve">actually run against the rule at 0.68 to 2.07, so any constant is a starting point</w:t>
      </w:r>
      <w:r>
        <w:t xml:space="preserve"> </w:t>
      </w:r>
      <w:r>
        <w:t xml:space="preserve">that then needs individual adjustment, and a quarter of people end up beyond what</w:t>
      </w:r>
      <w:r>
        <w:t xml:space="preserve"> </w:t>
      </w:r>
      <w:r>
        <w:t xml:space="preserve">an automated system’s own adjustment range could reach from it.</w:t>
      </w:r>
    </w:p>
    <w:bookmarkEnd w:id="14"/>
    <w:bookmarkStart w:id="15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Settings are those people had entered, taken as a per-person median: from the</w:t>
      </w:r>
      <w:r>
        <w:t xml:space="preserve"> </w:t>
      </w:r>
      <w:r>
        <w:t xml:space="preserve">bolus calculator for Loop and REPLACE-BG, and from the case report forms for</w:t>
      </w:r>
      <w:r>
        <w:t xml:space="preserve"> </w:t>
      </w:r>
      <w:r>
        <w:t xml:space="preserve">DCLP5 and PEDAP. Daily dose is measured from each person’s own pump record over</w:t>
      </w:r>
      <w:r>
        <w:t xml:space="preserve"> </w:t>
      </w:r>
      <w:r>
        <w:t xml:space="preserve">days the pump was recording completely, requiring at least thirty. The OpenAPS</w:t>
      </w:r>
      <w:r>
        <w:t xml:space="preserve"> </w:t>
      </w:r>
      <w:r>
        <w:t xml:space="preserve">Commons figures are the May extraction unchanged.</w:t>
      </w:r>
    </w:p>
    <w:p>
      <w:pPr>
        <w:pStyle w:val="BodyText"/>
      </w:pPr>
      <w:r>
        <w:t xml:space="preserve">Intervals are percentile bootstrap over people, 4,000 resamples. Slopes are least</w:t>
      </w:r>
      <w:r>
        <w:t xml:space="preserve"> </w:t>
      </w:r>
      <w:r>
        <w:t xml:space="preserve">squares on the logarithms with 1,500 bootstrap resamples.</w:t>
      </w:r>
    </w:p>
    <w:p>
      <w:pPr>
        <w:pStyle w:val="BodyText"/>
      </w:pPr>
      <w:r>
        <w:t xml:space="preserve">Basal share is the programmed share where a study records a schedule and the</w:t>
      </w:r>
      <w:r>
        <w:t xml:space="preserve"> </w:t>
      </w:r>
      <w:r>
        <w:t xml:space="preserve">delivered share otherwise, and the two are labelled separately in the machine</w:t>
      </w:r>
      <w:r>
        <w:t xml:space="preserve"> </w:t>
      </w:r>
      <w:r>
        <w:t xml:space="preserve">readable output because they are not the same quantity.</w:t>
      </w:r>
    </w:p>
    <w:p>
      <w:pPr>
        <w:pStyle w:val="BodyText"/>
      </w:pPr>
      <w:r>
        <w:t xml:space="preserve">Code is</w:t>
      </w:r>
      <w:r>
        <w:t xml:space="preserve"> </w:t>
      </w:r>
      <w:r>
        <w:rPr>
          <w:rStyle w:val="VerbatimChar"/>
        </w:rPr>
        <w:t xml:space="preserve">inv009/walsh_constants.py</w:t>
      </w:r>
      <w:r>
        <w:t xml:space="preserve">; results are</w:t>
      </w:r>
      <w:r>
        <w:t xml:space="preserve"> </w:t>
      </w:r>
      <w:r>
        <w:rPr>
          <w:rStyle w:val="VerbatimChar"/>
        </w:rPr>
        <w:t xml:space="preserve">results/inv009_walsh_by_cohort.parquet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results/inv009_walsh_constants.json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Updated constants from data analysis</dc:title>
  <dc:creator>Tim Street</dc:creator>
  <cp:keywords/>
  <dcterms:created xsi:type="dcterms:W3CDTF">2026-08-26T08:32:12Z</dcterms:created>
  <dcterms:modified xsi:type="dcterms:W3CDTF">2026-08-26T08:32:12Z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The three Walsh rules recomputed across 719 people in seven cohorts</vt:lpwstr>
  </property>
</Properties>
</file>