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OREF-INV-010: autosens against a real device</w:t>
      </w:r>
    </w:p>
    <w:p>
      <w:pPr>
        <w:pStyle w:val="Subtitle"/>
      </w:pPr>
      <w:r>
        <w:t xml:space="preserve">Three phases run on the Boost cohort, and what the first one costs</w:t>
      </w:r>
    </w:p>
    <w:p>
      <w:pPr>
        <w:pStyle w:val="Author"/>
      </w:pPr>
      <w:r>
        <w:t xml:space="preserve">Tim Street</w:t>
      </w:r>
    </w:p>
    <w:p>
      <w:pPr>
        <w:pStyle w:val="Date"/>
      </w:pPr>
      <w:r>
        <w:t xml:space="preserve">26 August 2026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Phase one was the gate. The autosens reconstruction built for INV-009 does not</w:t>
      </w:r>
      <w:r>
        <w:t xml:space="preserve"> </w:t>
      </w:r>
      <w:r>
        <w:t xml:space="preserve">track what a device actually computed, so the detector comparison in that work</w:t>
      </w:r>
      <w:r>
        <w:t xml:space="preserve"> </w:t>
      </w:r>
      <w:r>
        <w:t xml:space="preserve">should not be relied on. That comparison never reached the published paper or its</w:t>
      </w:r>
      <w:r>
        <w:t xml:space="preserve"> </w:t>
      </w:r>
      <w:r>
        <w:t xml:space="preserve">summary, so nothing needs retracting, but the conclusion it reached about</w:t>
      </w:r>
      <w:r>
        <w:t xml:space="preserve"> </w:t>
      </w:r>
      <w:r>
        <w:t xml:space="preserve">widening the autosens clamp does not stand.</w:t>
      </w:r>
    </w:p>
    <w:p>
      <w:pPr>
        <w:pStyle w:val="BodyText"/>
      </w:pPr>
      <w:r>
        <w:t xml:space="preserve">Phases two and three use only values the device wrote down, so they hold whatever</w:t>
      </w:r>
      <w:r>
        <w:t xml:space="preserve"> </w:t>
      </w:r>
      <w:r>
        <w:t xml:space="preserve">the reconstruction does. Both produced findings worth reporting.</w:t>
      </w:r>
    </w:p>
    <w:p>
      <w:pPr>
        <w:pStyle w:val="BodyText"/>
      </w:pPr>
      <w:r>
        <w:t xml:space="preserve">In this cohort oref autosens sits at exactly 1.000 for a median of 90% of</w:t>
      </w:r>
      <w:r>
        <w:t xml:space="preserve"> </w:t>
      </w:r>
      <w:r>
        <w:t xml:space="preserve">decisions, and never moves at all for four of the ten users. Where it does move,</w:t>
      </w:r>
      <w:r>
        <w:t xml:space="preserve"> </w:t>
      </w:r>
      <w:r>
        <w:t xml:space="preserve">it agrees only weakly with the dose-derived ratio Boost applies alongside it, and</w:t>
      </w:r>
      <w:r>
        <w:t xml:space="preserve"> </w:t>
      </w:r>
      <w:r>
        <w:t xml:space="preserve">when both are away from neutral they point in opposite directions a third of the</w:t>
      </w:r>
      <w:r>
        <w:t xml:space="preserve"> </w:t>
      </w:r>
      <w:r>
        <w:t xml:space="preserve">time.</w:t>
      </w:r>
    </w:p>
    <w:bookmarkEnd w:id="9"/>
    <w:bookmarkStart w:id="10" w:name="a-correction-to-the-scope"/>
    <w:p>
      <w:pPr>
        <w:pStyle w:val="Heading2"/>
      </w:pPr>
      <w:r>
        <w:t xml:space="preserve">A correction to the scope</w:t>
      </w:r>
    </w:p>
    <w:p>
      <w:pPr>
        <w:pStyle w:val="FirstParagraph"/>
      </w:pPr>
      <w:r>
        <w:t xml:space="preserve">The scoping note reported saturation rates of 47.7% and 50.7% at the ceiling for</w:t>
      </w:r>
      <w:r>
        <w:t xml:space="preserve"> </w:t>
      </w:r>
      <w:r>
        <w:t xml:space="preserve">two users. Those figures came from</w:t>
      </w:r>
      <w:r>
        <w:t xml:space="preserve"> </w:t>
      </w:r>
      <w:r>
        <w:rPr>
          <w:rStyle w:val="VerbatimChar"/>
        </w:rPr>
        <w:t xml:space="preserve">sensitivityRatio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boostAutosens_mode</w:t>
      </w:r>
      <w:r>
        <w:t xml:space="preserve"> </w:t>
      </w:r>
      <w:r>
        <w:t xml:space="preserve">reads</w:t>
      </w:r>
      <w:r>
        <w:t xml:space="preserve"> </w:t>
      </w:r>
      <w:r>
        <w:t xml:space="preserve">‘tdd’</w:t>
      </w:r>
      <w:r>
        <w:t xml:space="preserve"> </w:t>
      </w:r>
      <w:r>
        <w:t xml:space="preserve">for every user here, so that field is Boost’s</w:t>
      </w:r>
      <w:r>
        <w:t xml:space="preserve"> </w:t>
      </w:r>
      <w:r>
        <w:t xml:space="preserve">own dose-derived ratio rather than autosens. The oref autosens value sits in</w:t>
      </w:r>
      <w:r>
        <w:t xml:space="preserve"> </w:t>
      </w:r>
      <w:r>
        <w:rPr>
          <w:rStyle w:val="VerbatimChar"/>
        </w:rPr>
        <w:t xml:space="preserve">boostAutosens_orefRatio</w:t>
      </w:r>
      <w:r>
        <w:t xml:space="preserve">. Everything below uses the latter.</w:t>
      </w:r>
    </w:p>
    <w:bookmarkEnd w:id="10"/>
    <w:bookmarkStart w:id="11" w:name="Xba5795d77d1cd85c2e294e0feb9161abd3c99af"/>
    <w:p>
      <w:pPr>
        <w:pStyle w:val="Heading2"/>
      </w:pPr>
      <w:r>
        <w:t xml:space="preserve">Phase one: the reconstruction does not match the device</w:t>
      </w:r>
    </w:p>
    <w:p>
      <w:pPr>
        <w:pStyle w:val="FirstParagraph"/>
      </w:pPr>
      <w:r>
        <w:t xml:space="preserve">Ten users carry a recorded oref autosens ratio. Four of them return exactly</w:t>
      </w:r>
      <w:r>
        <w:t xml:space="preserve"> </w:t>
      </w:r>
      <w:r>
        <w:t xml:space="preserve">1.000 for every record, leaving six with a signal to compare against.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Sign agreement</w:t>
            </w:r>
          </w:p>
        </w:tc>
        <w:tc>
          <w:tcPr/>
          <w:p>
            <w:pPr>
              <w:pStyle w:val="Compact"/>
            </w:pPr>
            <w:r>
              <w:t xml:space="preserve">Implied max basal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+0.670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3.86</w:t>
            </w:r>
          </w:p>
        </w:tc>
        <w:tc>
          <w:tcPr/>
          <w:p>
            <w:pPr>
              <w:pStyle w:val="Compact"/>
            </w:pPr>
            <w:r>
              <w:t xml:space="preserve">10.82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+0.516</w:t>
            </w:r>
          </w:p>
        </w:tc>
        <w:tc>
          <w:tcPr/>
          <w:p>
            <w:pPr>
              <w:pStyle w:val="Compact"/>
            </w:pPr>
            <w:r>
              <w:t xml:space="preserve">43%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</w:t>
            </w:r>
          </w:p>
        </w:tc>
        <w:tc>
          <w:tcPr/>
          <w:p>
            <w:pPr>
              <w:pStyle w:val="Compact"/>
            </w:pPr>
            <w:r>
              <w:t xml:space="preserve">+0.434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-0.33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+0.330</w:t>
            </w:r>
          </w:p>
        </w:tc>
        <w:tc>
          <w:tcPr/>
          <w:p>
            <w:pPr>
              <w:pStyle w:val="Compact"/>
            </w:pPr>
            <w:r>
              <w:t xml:space="preserve">56%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4.80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+0.269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3.15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+0.134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</w:tr>
    </w:tbl>
    <w:p>
      <w:pPr>
        <w:pStyle w:val="BodyText"/>
      </w:pPr>
      <w:r>
        <w:t xml:space="preserve">Median correlation is +0.382 and median sign agreement is 49%, which is a coin</w:t>
      </w:r>
      <w:r>
        <w:t xml:space="preserve"> </w:t>
      </w:r>
      <w:r>
        <w:t xml:space="preserve">toss. For two users the reconstruction points the opposite way to the device</w:t>
      </w:r>
      <w:r>
        <w:t xml:space="preserve"> </w:t>
      </w:r>
      <w:r>
        <w:t xml:space="preserve">almost every time, and the maximum daily basal implied by matching the device</w:t>
      </w:r>
      <w:r>
        <w:t xml:space="preserve"> </w:t>
      </w:r>
      <w:r>
        <w:t xml:space="preserve">comes out negative for one of them, which is not a quantity that can be negative.</w:t>
      </w:r>
    </w:p>
    <w:p>
      <w:pPr>
        <w:pStyle w:val="BodyText"/>
      </w:pPr>
      <w:r>
        <w:t xml:space="preserve">The fault is not the sensitivity fed in. Substituting the profile sensitivity for</w:t>
      </w:r>
      <w:r>
        <w:t xml:space="preserve"> </w:t>
      </w:r>
      <w:r>
        <w:t xml:space="preserve">the dynamic one moves the correlation from +0.142 to +0.129 for one user and</w:t>
      </w:r>
      <w:r>
        <w:t xml:space="preserve"> </w:t>
      </w:r>
      <w:r>
        <w:t xml:space="preserve">from -0.059 to -0.049 for another. The reconstruction’s deviations run</w:t>
      </w:r>
      <w:r>
        <w:t xml:space="preserve"> </w:t>
      </w:r>
      <w:r>
        <w:t xml:space="preserve">systematically positive, at a median of +1.4 to +2.7 mg/dL per five minutes for</w:t>
      </w:r>
      <w:r>
        <w:t xml:space="preserve"> </w:t>
      </w:r>
      <w:r>
        <w:t xml:space="preserve">the users it disagrees with most, while the device reads neutral over the same</w:t>
      </w:r>
      <w:r>
        <w:t xml:space="preserve"> </w:t>
      </w:r>
      <w:r>
        <w:t xml:space="preserve">periods.</w:t>
      </w:r>
    </w:p>
    <w:p>
      <w:pPr>
        <w:pStyle w:val="BodyText"/>
      </w:pPr>
      <w:r>
        <w:t xml:space="preserve">What this costs: the INV-009 detector comparison, and with it the finding that</w:t>
      </w:r>
      <w:r>
        <w:t xml:space="preserve"> </w:t>
      </w:r>
      <w:r>
        <w:t xml:space="preserve">widening the autosens clamp from 0.7 to 1.2 out to 0.5 to 1.5 was worth about</w:t>
      </w:r>
      <w:r>
        <w:t xml:space="preserve"> </w:t>
      </w:r>
      <w:r>
        <w:t xml:space="preserve">0.9 mg/dL. That result had already required three corrections, the last of which</w:t>
      </w:r>
      <w:r>
        <w:t xml:space="preserve"> </w:t>
      </w:r>
      <w:r>
        <w:t xml:space="preserve">inverted it. It should now be treated as unsupported.</w:t>
      </w:r>
    </w:p>
    <w:bookmarkEnd w:id="11"/>
    <w:bookmarkStart w:id="12" w:name="phase-two-autosens-is-mostly-not-moving"/>
    <w:p>
      <w:pPr>
        <w:pStyle w:val="Heading2"/>
      </w:pPr>
      <w:r>
        <w:t xml:space="preserve">Phase two: autosens is mostly not moving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Exactly 1.000</w:t>
            </w:r>
          </w:p>
        </w:tc>
        <w:tc>
          <w:tcPr/>
          <w:p>
            <w:pPr>
              <w:pStyle w:val="Compact"/>
            </w:pPr>
            <w:r>
              <w:t xml:space="preserve">At ceiling</w:t>
            </w:r>
          </w:p>
        </w:tc>
        <w:tc>
          <w:tcPr/>
          <w:p>
            <w:pPr>
              <w:pStyle w:val="Compact"/>
            </w:pPr>
            <w:r>
              <w:t xml:space="preserve">At floor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A, B, D, K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96.1%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</w:t>
            </w:r>
          </w:p>
        </w:tc>
        <w:tc>
          <w:tcPr/>
          <w:p>
            <w:pPr>
              <w:pStyle w:val="Compact"/>
            </w:pPr>
            <w:r>
              <w:t xml:space="preserve">84.7%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49.8%</w:t>
            </w:r>
          </w:p>
        </w:tc>
        <w:tc>
          <w:tcPr/>
          <w:p>
            <w:pPr>
              <w:pStyle w:val="Compact"/>
            </w:pPr>
            <w:r>
              <w:t xml:space="preserve">7.0%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50.2%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27.3%</w:t>
            </w:r>
          </w:p>
        </w:tc>
        <w:tc>
          <w:tcPr/>
          <w:p>
            <w:pPr>
              <w:pStyle w:val="Compact"/>
            </w:pPr>
            <w:r>
              <w:t xml:space="preserve">55.2%</w:t>
            </w:r>
          </w:p>
        </w:tc>
        <w:tc>
          <w:tcPr/>
          <w:p>
            <w:pPr>
              <w:pStyle w:val="Compact"/>
            </w:pPr>
            <w:r>
              <w:t xml:space="preserve">1.3%</w:t>
            </w:r>
          </w:p>
        </w:tc>
        <w:tc>
          <w:tcPr/>
          <w:p>
            <w:pPr>
              <w:pStyle w:val="Compact"/>
            </w:pPr>
            <w:r>
              <w:t xml:space="preserve">72.7%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27.1%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72.9%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21.5%</w:t>
            </w:r>
          </w:p>
        </w:tc>
        <w:tc>
          <w:tcPr/>
          <w:p>
            <w:pPr>
              <w:pStyle w:val="Compact"/>
            </w:pPr>
            <w:r>
              <w:t xml:space="preserve">33.6%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78.5%</w:t>
            </w:r>
          </w:p>
        </w:tc>
      </w:tr>
    </w:tbl>
    <w:p>
      <w:pPr>
        <w:pStyle w:val="BodyText"/>
      </w:pPr>
      <w:r>
        <w:t xml:space="preserve">Median across the ten: neutral for 90% of decisions.</w:t>
      </w:r>
    </w:p>
    <w:p>
      <w:pPr>
        <w:pStyle w:val="BodyText"/>
      </w:pPr>
      <w:r>
        <w:t xml:space="preserve">Two readings are available and this data cannot separate them. Either autosens</w:t>
      </w:r>
      <w:r>
        <w:t xml:space="preserve"> </w:t>
      </w:r>
      <w:r>
        <w:t xml:space="preserve">is examining the record and finding nothing worth adjusting, or it is not being</w:t>
      </w:r>
      <w:r>
        <w:t xml:space="preserve"> </w:t>
      </w:r>
      <w:r>
        <w:t xml:space="preserve">fed in this configuration and returns neutral by default. Four users at exactly</w:t>
      </w:r>
      <w:r>
        <w:t xml:space="preserve"> </w:t>
      </w:r>
      <w:r>
        <w:t xml:space="preserve">100% neutral points at the second. Every user here runs Boost in its</w:t>
      </w:r>
      <w:r>
        <w:t xml:space="preserve"> </w:t>
      </w:r>
      <w:r>
        <w:t xml:space="preserve">dose-derived mode, where the oref ratio is computed alongside rather than</w:t>
      </w:r>
      <w:r>
        <w:t xml:space="preserve"> </w:t>
      </w:r>
      <w:r>
        <w:t xml:space="preserve">applied, so a plugin that is not receiving data would look exactly like this.</w:t>
      </w:r>
    </w:p>
    <w:p>
      <w:pPr>
        <w:pStyle w:val="BodyText"/>
      </w:pPr>
      <w:r>
        <w:t xml:space="preserve">Distinguishing them needs a user running oref autosens as the applied mechanism.</w:t>
      </w:r>
      <w:r>
        <w:t xml:space="preserve"> </w:t>
      </w:r>
      <w:r>
        <w:t xml:space="preserve">None of these ten is.</w:t>
      </w:r>
    </w:p>
    <w:p>
      <w:pPr>
        <w:pStyle w:val="BodyText"/>
      </w:pPr>
      <w:r>
        <w:t xml:space="preserve">Where autosens is active it does reach both bounds, which the INV-009</w:t>
      </w:r>
      <w:r>
        <w:t xml:space="preserve"> </w:t>
      </w:r>
      <w:r>
        <w:t xml:space="preserve">reconstruction never managed: I sits at the ceiling 55.2% of the time and H</w:t>
      </w:r>
      <w:r>
        <w:t xml:space="preserve"> </w:t>
      </w:r>
      <w:r>
        <w:t xml:space="preserve">33.6%, while tim reaches the floor 2.2% of the time.</w:t>
      </w:r>
    </w:p>
    <w:bookmarkEnd w:id="12"/>
    <w:bookmarkStart w:id="13" w:name="Xdcf81c617f4ca254dfa2010274452ae3b941710"/>
    <w:p>
      <w:pPr>
        <w:pStyle w:val="Heading2"/>
      </w:pPr>
      <w:r>
        <w:t xml:space="preserve">Phase three: the two mechanisms are largely unrelated</w:t>
      </w:r>
    </w:p>
    <w:p>
      <w:pPr>
        <w:pStyle w:val="FirstParagraph"/>
      </w:pPr>
      <w:r>
        <w:t xml:space="preserve">Nine of these users run a dose-derived ratio and oref autosens at once, both</w:t>
      </w:r>
      <w:r>
        <w:t xml:space="preserve"> </w:t>
      </w:r>
      <w:r>
        <w:t xml:space="preserve">scaling the same sensitivity from different evidence.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Applied ratio</w:t>
            </w:r>
          </w:p>
        </w:tc>
        <w:tc>
          <w:tcPr/>
          <w:p>
            <w:pPr>
              <w:pStyle w:val="Compact"/>
            </w:pPr>
            <w:r>
              <w:t xml:space="preserve">oref ratio</w:t>
            </w:r>
          </w:p>
        </w:tc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Both away from neutral</w:t>
            </w:r>
          </w:p>
        </w:tc>
        <w:tc>
          <w:tcPr/>
          <w:p>
            <w:pPr>
              <w:pStyle w:val="Compact"/>
            </w:pPr>
            <w:r>
              <w:t xml:space="preserve">Opposed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0.874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+0.351</w:t>
            </w:r>
          </w:p>
        </w:tc>
        <w:tc>
          <w:tcPr/>
          <w:p>
            <w:pPr>
              <w:pStyle w:val="Compact"/>
            </w:pPr>
            <w:r>
              <w:t xml:space="preserve">67.5%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0.835</w:t>
            </w:r>
          </w:p>
        </w:tc>
        <w:tc>
          <w:tcPr/>
          <w:p>
            <w:pPr>
              <w:pStyle w:val="Compact"/>
            </w:pPr>
            <w:r>
              <w:t xml:space="preserve">1.022</w:t>
            </w:r>
          </w:p>
        </w:tc>
        <w:tc>
          <w:tcPr/>
          <w:p>
            <w:pPr>
              <w:pStyle w:val="Compact"/>
            </w:pPr>
            <w:r>
              <w:t xml:space="preserve">+0.304</w:t>
            </w:r>
          </w:p>
        </w:tc>
        <w:tc>
          <w:tcPr/>
          <w:p>
            <w:pPr>
              <w:pStyle w:val="Compact"/>
            </w:pPr>
            <w:r>
              <w:t xml:space="preserve">46.0%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1.161</w:t>
            </w:r>
          </w:p>
        </w:tc>
        <w:tc>
          <w:tcPr/>
          <w:p>
            <w:pPr>
              <w:pStyle w:val="Compact"/>
            </w:pPr>
            <w:r>
              <w:t xml:space="preserve">+0.133</w:t>
            </w:r>
          </w:p>
        </w:tc>
        <w:tc>
          <w:tcPr/>
          <w:p>
            <w:pPr>
              <w:pStyle w:val="Compact"/>
            </w:pPr>
            <w:r>
              <w:t xml:space="preserve">71.7%</w:t>
            </w:r>
          </w:p>
        </w:tc>
        <w:tc>
          <w:tcPr/>
          <w:p>
            <w:pPr>
              <w:pStyle w:val="Compact"/>
            </w:pPr>
            <w:r>
              <w:t xml:space="preserve">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+0.122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0.980</w:t>
            </w:r>
          </w:p>
        </w:tc>
        <w:tc>
          <w:tcPr/>
          <w:p>
            <w:pPr>
              <w:pStyle w:val="Compact"/>
            </w:pPr>
            <w:r>
              <w:t xml:space="preserve">-0.091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1.117</w:t>
            </w:r>
          </w:p>
        </w:tc>
        <w:tc>
          <w:tcPr/>
          <w:p>
            <w:pPr>
              <w:pStyle w:val="Compact"/>
            </w:pPr>
            <w:r>
              <w:t xml:space="preserve">-0.035</w:t>
            </w:r>
          </w:p>
        </w:tc>
        <w:tc>
          <w:tcPr/>
          <w:p>
            <w:pPr>
              <w:pStyle w:val="Compact"/>
            </w:pPr>
            <w:r>
              <w:t xml:space="preserve">71.4%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</w:tr>
    </w:tbl>
    <w:p>
      <w:pPr>
        <w:pStyle w:val="BodyText"/>
      </w:pPr>
      <w:r>
        <w:t xml:space="preserve">Median correlation is +0.128. When both are away from neutral they point in</w:t>
      </w:r>
      <w:r>
        <w:t xml:space="preserve"> </w:t>
      </w:r>
      <w:r>
        <w:t xml:space="preserve">opposite directions for a median of 34% of the time, and for one user 82% of the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So the two are close to independent, and for some people actively opposed. One</w:t>
      </w:r>
      <w:r>
        <w:t xml:space="preserve"> </w:t>
      </w:r>
      <w:r>
        <w:t xml:space="preserve">reads recent dose, the other reads recent deviations, and they reach different</w:t>
      </w:r>
      <w:r>
        <w:t xml:space="preserve"> </w:t>
      </w:r>
      <w:r>
        <w:t xml:space="preserve">conclusions about the same person at the same moment. Which is right is not</w:t>
      </w:r>
      <w:r>
        <w:t xml:space="preserve"> </w:t>
      </w:r>
      <w:r>
        <w:t xml:space="preserve">something this data settles. That they disagree is worth knowing before either</w:t>
      </w:r>
      <w:r>
        <w:t xml:space="preserve"> </w:t>
      </w:r>
      <w:r>
        <w:t xml:space="preserve">is trusted as a sensitivity signal.</w:t>
      </w:r>
    </w:p>
    <w:bookmarkEnd w:id="13"/>
    <w:bookmarkStart w:id="14" w:name="what-follows"/>
    <w:p>
      <w:pPr>
        <w:pStyle w:val="Heading2"/>
      </w:pPr>
      <w:r>
        <w:t xml:space="preserve">What follows</w:t>
      </w:r>
    </w:p>
    <w:p>
      <w:pPr>
        <w:pStyle w:val="FirstParagraph"/>
      </w:pPr>
      <w:r>
        <w:t xml:space="preserve">The INV-009 detector work needs redoing against a device before any of it is</w:t>
      </w:r>
      <w:r>
        <w:t xml:space="preserve"> </w:t>
      </w:r>
      <w:r>
        <w:t xml:space="preserve">quoted. That means a cohort running oref autosens as the applied mechanism, which</w:t>
      </w:r>
      <w:r>
        <w:t xml:space="preserve"> </w:t>
      </w:r>
      <w:r>
        <w:t xml:space="preserve">this one is not.</w:t>
      </w:r>
    </w:p>
    <w:p>
      <w:pPr>
        <w:pStyle w:val="BodyText"/>
      </w:pPr>
      <w:r>
        <w:t xml:space="preserve">The phase two question is the more interesting one and is unresolved for a</w:t>
      </w:r>
      <w:r>
        <w:t xml:space="preserve"> </w:t>
      </w:r>
      <w:r>
        <w:t xml:space="preserve">mundane reason. If autosens really is neutral 90% of the time in normal use, the</w:t>
      </w:r>
      <w:r>
        <w:t xml:space="preserve"> </w:t>
      </w:r>
      <w:r>
        <w:t xml:space="preserve">mechanism is doing much less than its reputation suggests, and the INV-009</w:t>
      </w:r>
      <w:r>
        <w:t xml:space="preserve"> </w:t>
      </w:r>
      <w:r>
        <w:t xml:space="preserve">finding that per-person base error is large and mostly uncorrected would matter</w:t>
      </w:r>
      <w:r>
        <w:t xml:space="preserve"> </w:t>
      </w:r>
      <w:r>
        <w:t xml:space="preserve">more, not less. If instead it is a configuration artefact, the number means</w:t>
      </w:r>
      <w:r>
        <w:t xml:space="preserve"> </w:t>
      </w:r>
      <w:r>
        <w:t xml:space="preserve">nothing. One user on profile sensitivity with autosens applied would separate</w:t>
      </w:r>
      <w:r>
        <w:t xml:space="preserve"> </w:t>
      </w:r>
      <w:r>
        <w:t xml:space="preserve">them.</w:t>
      </w:r>
    </w:p>
    <w:bookmarkEnd w:id="14"/>
    <w:bookmarkStart w:id="15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Eleven people, self-selected, running a development branch, over five weeks. This</w:t>
      </w:r>
      <w:r>
        <w:t xml:space="preserve"> </w:t>
      </w:r>
      <w:r>
        <w:t xml:space="preserve">supports statements about mechanism and about whether a reconstruction is</w:t>
      </w:r>
      <w:r>
        <w:t xml:space="preserve"> </w:t>
      </w:r>
      <w:r>
        <w:t xml:space="preserve">faithful. It supports no population claim.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OREF-INV-010: autosens against a real device</dc:title>
  <dc:creator>Tim Street</dc:creator>
  <cp:keywords/>
  <dcterms:created xsi:type="dcterms:W3CDTF">2026-08-26T07:04:27Z</dcterms:created>
  <dcterms:modified xsi:type="dcterms:W3CDTF">2026-08-26T07:04:27Z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August 2026</vt:lpwstr>
  </property>
  <property fmtid="{D5CDD505-2E9C-101B-9397-08002B2CF9AE}" pid="3" name="subtitle">
    <vt:lpwstr>Three phases run on the Boost cohort, and what the first one costs</vt:lpwstr>
  </property>
</Properties>
</file>