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far observational insulin sensitivity sits below entered settings depends on how it is measured</w:t>
      </w:r>
    </w:p>
    <w:p>
      <w:pPr>
        <w:pStyle w:val="Subtitle"/>
      </w:pPr>
      <w:r>
        <w:t xml:space="preserve">Six trial cohorts, 1,679 people, and a gap that ranges from 0.30 to 1.12 according to construction</w:t>
      </w:r>
    </w:p>
    <w:p>
      <w:pPr>
        <w:pStyle w:val="Author"/>
      </w:pPr>
      <w:r>
        <w:t xml:space="preserve">Tim Street, Diabettech</w:t>
      </w:r>
    </w:p>
    <w:p>
      <w:pPr>
        <w:pStyle w:val="Date"/>
      </w:pPr>
      <w:r>
        <w:t xml:space="preserve">27 August 2026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Sensitivity estimated from what glucose did after insulin was given generally comes</w:t>
      </w:r>
      <w:r>
        <w:t xml:space="preserve"> </w:t>
      </w:r>
      <w:r>
        <w:t xml:space="preserve">out below the sensitivity people have entered into their pumps. That was</w:t>
      </w:r>
      <w:r>
        <w:t xml:space="preserve"> </w:t>
      </w:r>
      <w:r>
        <w:t xml:space="preserve">established in 2026 on 138 users of open-source closed-loop systems, where the</w:t>
      </w:r>
      <w:r>
        <w:t xml:space="preserve"> </w:t>
      </w:r>
      <w:r>
        <w:t xml:space="preserve">constant anchored to measured sensitivity was 145 against 355 anchored to the</w:t>
      </w:r>
      <w:r>
        <w:t xml:space="preserve"> </w:t>
      </w:r>
      <w:r>
        <w:t xml:space="preserve">profiles people had tuned, a ratio of 0.41. The same work tested whether dosing to</w:t>
      </w:r>
      <w:r>
        <w:t xml:space="preserve"> </w:t>
      </w:r>
      <w:r>
        <w:t xml:space="preserve">the measured value would be safe and found it would not: people dosing well weaker</w:t>
      </w:r>
      <w:r>
        <w:t xml:space="preserve"> </w:t>
      </w:r>
      <w:r>
        <w:t xml:space="preserve">than their measured sensitivity had more hypoglycaemia rather than less, and</w:t>
      </w:r>
      <w:r>
        <w:t xml:space="preserve"> </w:t>
      </w:r>
      <w:r>
        <w:t xml:space="preserve">restricting the estimate to overnight periods left the bias unchanged.</w:t>
      </w:r>
    </w:p>
    <w:p>
      <w:pPr>
        <w:pStyle w:val="BodyText"/>
      </w:pPr>
      <w:r>
        <w:t xml:space="preserve">This paper asks whether that ratio holds on other data. Across 1,679 people in six</w:t>
      </w:r>
      <w:r>
        <w:t xml:space="preserve"> </w:t>
      </w:r>
      <w:r>
        <w:t xml:space="preserve">trial cohorts it does not hold at a single value, and the reason is that the ratio</w:t>
      </w:r>
      <w:r>
        <w:t xml:space="preserve"> </w:t>
      </w:r>
      <w:r>
        <w:t xml:space="preserve">depends on how the estimate is constructed more than on which cohort is measured.</w:t>
      </w:r>
      <w:r>
        <w:t xml:space="preserve"> </w:t>
      </w:r>
      <w:r>
        <w:t xml:space="preserve">Holding the cohort fixed and varying the construction moves it from 0.30 to 1.12.</w:t>
      </w:r>
      <w:r>
        <w:t xml:space="preserve"> </w:t>
      </w:r>
      <w:r>
        <w:t xml:space="preserve">Running the original construction unchanged on the trial cohorts gives 0.72 to</w:t>
      </w:r>
      <w:r>
        <w:t xml:space="preserve"> </w:t>
      </w:r>
      <w:r>
        <w:t xml:space="preserve">1.12, with the open-loop cohort exceeding its entered settings at six hours.</w:t>
      </w:r>
    </w:p>
    <w:p>
      <w:pPr>
        <w:pStyle w:val="BodyText"/>
      </w:pPr>
      <w:r>
        <w:t xml:space="preserve">So the direction of the earlier finding is not universal and the magnitude is not</w:t>
      </w:r>
      <w:r>
        <w:t xml:space="preserve"> </w:t>
      </w:r>
      <w:r>
        <w:t xml:space="preserve">transferable. What is transferable is the caution: an observational sensitivity</w:t>
      </w:r>
      <w:r>
        <w:t xml:space="preserve"> </w:t>
      </w:r>
      <w:r>
        <w:t xml:space="preserve">estimate is a statement about a method as much as about a person, and two</w:t>
      </w:r>
      <w:r>
        <w:t xml:space="preserve"> </w:t>
      </w:r>
      <w:r>
        <w:t xml:space="preserve">defensible methods on the same records differ by more than threefold.</w:t>
      </w:r>
    </w:p>
    <w:bookmarkEnd w:id="9"/>
    <w:bookmarkStart w:id="10" w:name="what-was-already-known"/>
    <w:p>
      <w:pPr>
        <w:pStyle w:val="Heading2"/>
      </w:pPr>
      <w:r>
        <w:t xml:space="preserve">What was already known</w:t>
      </w:r>
    </w:p>
    <w:p>
      <w:pPr>
        <w:pStyle w:val="FirstParagraph"/>
      </w:pPr>
      <w:r>
        <w:t xml:space="preserve">The earlier analysis reached three conclusions relevant here. The shape of the</w:t>
      </w:r>
      <w:r>
        <w:t xml:space="preserve"> </w:t>
      </w:r>
      <w:r>
        <w:t xml:space="preserve">relationship between sensitivity and total daily dose is derivable from data and</w:t>
      </w:r>
      <w:r>
        <w:t xml:space="preserve"> </w:t>
      </w:r>
      <w:r>
        <w:t xml:space="preserve">scales approximately as one over the square root of daily dose. The level is not:</w:t>
      </w:r>
      <w:r>
        <w:t xml:space="preserve"> </w:t>
      </w:r>
      <w:r>
        <w:t xml:space="preserve">a short-window empirical estimate swings by a third between blocks and carries</w:t>
      </w:r>
      <w:r>
        <w:t xml:space="preserve"> </w:t>
      </w:r>
      <w:r>
        <w:t xml:space="preserve">almost no memory from one block to the next. And the level that comes out is</w:t>
      </w:r>
      <w:r>
        <w:t xml:space="preserve"> </w:t>
      </w:r>
      <w:r>
        <w:t xml:space="preserve">biased in a specific direction, low, such that dosing to it produces more</w:t>
      </w:r>
      <w:r>
        <w:t xml:space="preserve"> </w:t>
      </w:r>
      <w:r>
        <w:t xml:space="preserve">hypoglycaemia than dosing to a tuned profile.</w:t>
      </w:r>
    </w:p>
    <w:p>
      <w:pPr>
        <w:pStyle w:val="BodyText"/>
      </w:pPr>
      <w:r>
        <w:t xml:space="preserve">That last point is the one that matters for interpretation. The gap between</w:t>
      </w:r>
      <w:r>
        <w:t xml:space="preserve"> </w:t>
      </w:r>
      <w:r>
        <w:t xml:space="preserve">measured and entered sensitivity is not evidence that entered settings are wrong.</w:t>
      </w:r>
      <w:r>
        <w:t xml:space="preserve"> </w:t>
      </w:r>
      <w:r>
        <w:t xml:space="preserve">It had already been tested against outcomes and the entered settings won.</w:t>
      </w:r>
    </w:p>
    <w:bookmarkEnd w:id="10"/>
    <w:bookmarkStart w:id="11" w:name="what-this-adds"/>
    <w:p>
      <w:pPr>
        <w:pStyle w:val="Heading2"/>
      </w:pPr>
      <w:r>
        <w:t xml:space="preserve">What this adds</w:t>
      </w:r>
    </w:p>
    <w:p>
      <w:pPr>
        <w:pStyle w:val="FirstParagraph"/>
      </w:pPr>
      <w:r>
        <w:t xml:space="preserve">The cohorts are the Jaeb Center public releases: REPLACE-BG, which ran in 2015</w:t>
      </w:r>
      <w:r>
        <w:t xml:space="preserve"> </w:t>
      </w:r>
      <w:r>
        <w:t xml:space="preserve">with no algorithm intervening, the Loop observational study, DCLP3, DCLP5 and</w:t>
      </w:r>
      <w:r>
        <w:t xml:space="preserve"> </w:t>
      </w:r>
      <w:r>
        <w:t xml:space="preserve">PEDAP on Control-IQ across ages 2 to adult, and IOBP2 on a bionic pancreas. Ages</w:t>
      </w:r>
      <w:r>
        <w:t xml:space="preserve"> </w:t>
      </w:r>
      <w:r>
        <w:t xml:space="preserve">run from 2 to 82 and daily doses from 7 to 107 U. Insulin on board is</w:t>
      </w:r>
      <w:r>
        <w:t xml:space="preserve"> </w:t>
      </w:r>
      <w:r>
        <w:t xml:space="preserve">reconstructed from the delivery record and an insulin action curve, which is the</w:t>
      </w:r>
      <w:r>
        <w:t xml:space="preserve"> </w:t>
      </w:r>
      <w:r>
        <w:t xml:space="preserve">weaker provenance: the earlier work had the loop’s own figure.</w:t>
      </w:r>
    </w:p>
    <w:p>
      <w:pPr>
        <w:pStyle w:val="BodyText"/>
      </w:pPr>
      <w:r>
        <w:t xml:space="preserve">The original construction is the fall over four hours divided by insulin on board</w:t>
      </w:r>
      <w:r>
        <w:t xml:space="preserve"> </w:t>
      </w:r>
      <w:r>
        <w:t xml:space="preserve">at the start, taken overnight, with carbohydrate screened by the shape of the trace</w:t>
      </w:r>
      <w:r>
        <w:t xml:space="preserve"> </w:t>
      </w:r>
      <w:r>
        <w:t xml:space="preserve">rather than from a log. Run unchanged on these cohorts it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Entered</w:t>
            </w:r>
          </w:p>
        </w:tc>
        <w:tc>
          <w:tcPr/>
          <w:p>
            <w:pPr>
              <w:pStyle w:val="Compact"/>
            </w:pPr>
            <w:r>
              <w:t xml:space="preserve">Ratio at 4 h</w:t>
            </w:r>
          </w:p>
        </w:tc>
        <w:tc>
          <w:tcPr/>
          <w:p>
            <w:pPr>
              <w:pStyle w:val="Compact"/>
            </w:pPr>
            <w:r>
              <w:t xml:space="preserve">Ratio at 6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REPLACE-BG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50.4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45.9</w:t>
            </w:r>
          </w:p>
        </w:tc>
        <w:tc>
          <w:tcPr/>
          <w:p>
            <w:pPr>
              <w:pStyle w:val="Compact"/>
            </w:pPr>
            <w:r>
              <w:t xml:space="preserve">50.7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PEDAP</w:t>
            </w:r>
          </w:p>
        </w:tc>
        <w:tc>
          <w:tcPr/>
          <w:p>
            <w:pPr>
              <w:pStyle w:val="Compact"/>
            </w:pPr>
            <w:r>
              <w:t xml:space="preserve">137.4</w:t>
            </w:r>
          </w:p>
        </w:tc>
        <w:tc>
          <w:tcPr/>
          <w:p>
            <w:pPr>
              <w:pStyle w:val="Compact"/>
            </w:pPr>
            <w:r>
              <w:t xml:space="preserve">144.0</w:t>
            </w:r>
          </w:p>
        </w:tc>
        <w:tc>
          <w:tcPr/>
          <w:p>
            <w:pPr>
              <w:pStyle w:val="Compact"/>
            </w:pPr>
            <w:r>
              <w:t xml:space="preserve">158.8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DCLP3</w:t>
            </w:r>
          </w:p>
        </w:tc>
        <w:tc>
          <w:tcPr/>
          <w:p>
            <w:pPr>
              <w:pStyle w:val="Compact"/>
            </w:pPr>
            <w:r>
              <w:t xml:space="preserve">31.2</w:t>
            </w:r>
          </w:p>
        </w:tc>
        <w:tc>
          <w:tcPr/>
          <w:p>
            <w:pPr>
              <w:pStyle w:val="Compact"/>
            </w:pPr>
            <w:r>
              <w:t xml:space="preserve">33.6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DCLP5</w:t>
            </w:r>
          </w:p>
        </w:tc>
        <w:tc>
          <w:tcPr/>
          <w:p>
            <w:pPr>
              <w:pStyle w:val="Compact"/>
            </w:pPr>
            <w:r>
              <w:t xml:space="preserve">54.9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  <w:tc>
          <w:tcPr/>
          <w:p>
            <w:pPr>
              <w:pStyle w:val="Compact"/>
            </w:pPr>
            <w:r>
              <w:t xml:space="preserve">68.3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</w:tbl>
    <w:p>
      <w:pPr>
        <w:pStyle w:val="BodyText"/>
      </w:pPr>
      <w:r>
        <w:t xml:space="preserve">That is 0.72 to 1.12, not 0.41, and the open-loop cohort exceeds its entered</w:t>
      </w:r>
      <w:r>
        <w:t xml:space="preserve"> </w:t>
      </w:r>
      <w:r>
        <w:t xml:space="preserve">settings once the horizon covers the insulin duration.</w:t>
      </w:r>
    </w:p>
    <w:p>
      <w:pPr>
        <w:pStyle w:val="BodyText"/>
      </w:pPr>
      <w:r>
        <w:t xml:space="preserve">Three other constructions were also run, differing in decisions that turn out to</w:t>
      </w:r>
      <w:r>
        <w:t xml:space="preserve"> </w:t>
      </w:r>
      <w:r>
        <w:t xml:space="preserve">matter as much as the cohort does. Whether a correction is counted as a bolus</w:t>
      </w:r>
      <w:r>
        <w:t xml:space="preserve"> </w:t>
      </w:r>
      <w:r>
        <w:t xml:space="preserve">alone or as anything delivered above the programmed basal, which matters because</w:t>
      </w:r>
      <w:r>
        <w:t xml:space="preserve"> </w:t>
      </w:r>
      <w:r>
        <w:t xml:space="preserve">56% of Loop’s correcting insulin and 43% of PEDAP’s arrives as raised temporary</w:t>
      </w:r>
      <w:r>
        <w:t xml:space="preserve"> </w:t>
      </w:r>
      <w:r>
        <w:t xml:space="preserve">basal. Whether the denominator is the units given, the insulin action across the</w:t>
      </w:r>
      <w:r>
        <w:t xml:space="preserve"> </w:t>
      </w:r>
      <w:r>
        <w:t xml:space="preserve">window, or insulin on board at the start alone. And whether episodes are required</w:t>
      </w:r>
      <w:r>
        <w:t xml:space="preserve"> </w:t>
      </w:r>
      <w:r>
        <w:t xml:space="preserve">to open with little insulin already on board.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</w:pPr>
            <w:r>
              <w:t xml:space="preserve">Cohorts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Insulin on board at the start, 4 to 6 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0.72 to 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Bolus corrections, per unit given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0.49 to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route, insulin action across the window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0.48 to 0.66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route, action, low insulin on board at the start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0.30 to 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oref archive, loop-recorded insulin on board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0.60 (reported 0.41)</w:t>
            </w:r>
          </w:p>
        </w:tc>
      </w:tr>
    </w:tbl>
    <w:p>
      <w:pPr>
        <w:pStyle w:val="BodyText"/>
      </w:pPr>
      <w:r>
        <w:t xml:space="preserve">The constructions bracket rather than agree, and they do so in an interpretable</w:t>
      </w:r>
      <w:r>
        <w:t xml:space="preserve"> </w:t>
      </w:r>
      <w:r>
        <w:t xml:space="preserve">direction. Dividing by insulin on board at the start ignores anything delivered</w:t>
      </w:r>
      <w:r>
        <w:t xml:space="preserve"> </w:t>
      </w:r>
      <w:r>
        <w:t xml:space="preserve">inside the window, which lowers glucose and enlarges the numerator without</w:t>
      </w:r>
      <w:r>
        <w:t xml:space="preserve"> </w:t>
      </w:r>
      <w:r>
        <w:t xml:space="preserve">appearing below the line, so that construction reads high and reads highest where</w:t>
      </w:r>
      <w:r>
        <w:t xml:space="preserve"> </w:t>
      </w:r>
      <w:r>
        <w:t xml:space="preserve">an algorithm is dosing throughout. Dividing by the action of all above-schedule</w:t>
      </w:r>
      <w:r>
        <w:t xml:space="preserve"> </w:t>
      </w:r>
      <w:r>
        <w:t xml:space="preserve">insulin counts insulin that was covering something else, so it reads low. The</w:t>
      </w:r>
      <w:r>
        <w:t xml:space="preserve"> </w:t>
      </w:r>
      <w:r>
        <w:t xml:space="preserve">honest statement is that the answer lies between them and this data does not place</w:t>
      </w:r>
      <w:r>
        <w:t xml:space="preserve"> </w:t>
      </w:r>
      <w:r>
        <w:t xml:space="preserve">it.</w:t>
      </w:r>
    </w:p>
    <w:bookmarkEnd w:id="11"/>
    <w:bookmarkStart w:id="12" w:name="why-the-magnitude-cannot-be-pinned-here"/>
    <w:p>
      <w:pPr>
        <w:pStyle w:val="Heading2"/>
      </w:pPr>
      <w:r>
        <w:t xml:space="preserve">Why the magnitude cannot be pinned here</w:t>
      </w:r>
    </w:p>
    <w:p>
      <w:pPr>
        <w:pStyle w:val="FirstParagraph"/>
      </w:pPr>
      <w:r>
        <w:t xml:space="preserve">Three mechanisms produce a low estimate and this design separates none of them.</w:t>
      </w:r>
    </w:p>
    <w:p>
      <w:pPr>
        <w:pStyle w:val="BodyText"/>
      </w:pPr>
      <w:r>
        <w:t xml:space="preserve">Glucose falls on its own from a raised level. Overnight and carbohydrate-free,</w:t>
      </w:r>
      <w:r>
        <w:t xml:space="preserve"> </w:t>
      </w:r>
      <w:r>
        <w:t xml:space="preserve">between 150 and 250 mg/dL, it drops a median 21 to 30 mg/dL over four hours with</w:t>
      </w:r>
      <w:r>
        <w:t xml:space="preserve"> </w:t>
      </w:r>
      <w:r>
        <w:t xml:space="preserve">no correction given, so any estimator that removes that fall is measuring</w:t>
      </w:r>
      <w:r>
        <w:t xml:space="preserve"> </w:t>
      </w:r>
      <w:r>
        <w:t xml:space="preserve">something smaller than a settings file encodes, and any estimator that leaves it</w:t>
      </w:r>
      <w:r>
        <w:t xml:space="preserve"> </w:t>
      </w:r>
      <w:r>
        <w:t xml:space="preserve">in is measuring mean reversion.</w:t>
      </w:r>
    </w:p>
    <w:p>
      <w:pPr>
        <w:pStyle w:val="BodyText"/>
      </w:pPr>
      <w:r>
        <w:t xml:space="preserve">Insulin is given when glucose is expected to stay up. Within an identical glucose</w:t>
      </w:r>
      <w:r>
        <w:t xml:space="preserve"> </w:t>
      </w:r>
      <w:r>
        <w:t xml:space="preserve">trace the correlation between insulin committed before a window and insulin</w:t>
      </w:r>
      <w:r>
        <w:t xml:space="preserve"> </w:t>
      </w:r>
      <w:r>
        <w:t xml:space="preserve">delivered during it is 0.054 in the open-loop cohort and 0.447 under a</w:t>
      </w:r>
      <w:r>
        <w:t xml:space="preserve"> </w:t>
      </w:r>
      <w:r>
        <w:t xml:space="preserve">do-it-yourself loop, so a controller keeps responding to something the trace does</w:t>
      </w:r>
      <w:r>
        <w:t xml:space="preserve"> </w:t>
      </w:r>
      <w:r>
        <w:t xml:space="preserve">not carry and its dose stays tied to the outcome.</w:t>
      </w:r>
    </w:p>
    <w:p>
      <w:pPr>
        <w:pStyle w:val="BodyText"/>
      </w:pPr>
      <w:r>
        <w:t xml:space="preserve">And the insulin action curve is assumed rather than observed. Reconstructed</w:t>
      </w:r>
      <w:r>
        <w:t xml:space="preserve"> </w:t>
      </w:r>
      <w:r>
        <w:t xml:space="preserve">insulin on board agrees with the pump’s own record at a median absolute difference</w:t>
      </w:r>
      <w:r>
        <w:t xml:space="preserve"> </w:t>
      </w:r>
      <w:r>
        <w:t xml:space="preserve">of 0.079 U and a correlation of 0.848 across 188 people in REPLACE-BG, which is</w:t>
      </w:r>
      <w:r>
        <w:t xml:space="preserve"> </w:t>
      </w:r>
      <w:r>
        <w:t xml:space="preserve">good but not exact.</w:t>
      </w:r>
    </w:p>
    <w:bookmarkEnd w:id="12"/>
    <w:bookmarkStart w:id="13" w:name="a-limit-on-what-a-simulation-can-settle"/>
    <w:p>
      <w:pPr>
        <w:pStyle w:val="Heading2"/>
      </w:pPr>
      <w:r>
        <w:t xml:space="preserve">A limit on what a simulation can settle</w:t>
      </w:r>
    </w:p>
    <w:p>
      <w:pPr>
        <w:pStyle w:val="FirstParagraph"/>
      </w:pPr>
      <w:r>
        <w:t xml:space="preserve">The obvious way to choose between constructions is to run them against records</w:t>
      </w:r>
      <w:r>
        <w:t xml:space="preserve"> </w:t>
      </w:r>
      <w:r>
        <w:t xml:space="preserve">whose true sensitivity is known. That was done and it does not resolve the</w:t>
      </w:r>
      <w:r>
        <w:t xml:space="preserve"> </w:t>
      </w:r>
      <w:r>
        <w:t xml:space="preserve">question. Simulated open-loop records with unlogged carbohydrate return 51.6</w:t>
      </w:r>
      <w:r>
        <w:t xml:space="preserve"> </w:t>
      </w:r>
      <w:r>
        <w:t xml:space="preserve">against a true 50 for the bolus-and-units-given construction, but only about 22</w:t>
      </w:r>
      <w:r>
        <w:t xml:space="preserve"> </w:t>
      </w:r>
      <w:r>
        <w:t xml:space="preserve">qualifying episodes per person, and the simulated controller cannot be made to</w:t>
      </w:r>
      <w:r>
        <w:t xml:space="preserve"> </w:t>
      </w:r>
      <w:r>
        <w:t xml:space="preserve">correct through temporary basal at a realistic rate: at any gain that leaves</w:t>
      </w:r>
      <w:r>
        <w:t xml:space="preserve"> </w:t>
      </w:r>
      <w:r>
        <w:t xml:space="preserve">glucose in a plausible range it never delivers half a unit above schedule in</w:t>
      </w:r>
      <w:r>
        <w:t xml:space="preserve"> </w:t>
      </w:r>
      <w:r>
        <w:t xml:space="preserve">thirty minutes. So the constructions that matter for the closed-loop cohorts</w:t>
      </w:r>
      <w:r>
        <w:t xml:space="preserve"> </w:t>
      </w:r>
      <w:r>
        <w:t xml:space="preserve">cannot be tested against a known answer at all.</w:t>
      </w:r>
    </w:p>
    <w:p>
      <w:pPr>
        <w:pStyle w:val="BodyText"/>
      </w:pPr>
      <w:r>
        <w:t xml:space="preserve">Reporting that limitation is the point of this section. An estimator validated on</w:t>
      </w:r>
      <w:r>
        <w:t xml:space="preserve"> </w:t>
      </w:r>
      <w:r>
        <w:t xml:space="preserve">the one case that can be simulated should not be presented as validated for the</w:t>
      </w:r>
      <w:r>
        <w:t xml:space="preserve"> </w:t>
      </w:r>
      <w:r>
        <w:t xml:space="preserve">cases that cannot.</w:t>
      </w:r>
    </w:p>
    <w:bookmarkEnd w:id="13"/>
    <w:bookmarkStart w:id="14" w:name="what-follows"/>
    <w:p>
      <w:pPr>
        <w:pStyle w:val="Heading2"/>
      </w:pPr>
      <w:r>
        <w:t xml:space="preserve">What follows</w:t>
      </w:r>
    </w:p>
    <w:p>
      <w:pPr>
        <w:pStyle w:val="FirstParagraph"/>
      </w:pPr>
      <w:r>
        <w:t xml:space="preserve">For anyone setting a pump, nothing changes. The entered constants remain the</w:t>
      </w:r>
      <w:r>
        <w:t xml:space="preserve"> </w:t>
      </w:r>
      <w:r>
        <w:t xml:space="preserve">number to use and the earlier outcome work is the reason.</w:t>
      </w:r>
    </w:p>
    <w:p>
      <w:pPr>
        <w:pStyle w:val="BodyText"/>
      </w:pPr>
      <w:r>
        <w:t xml:space="preserve">For anyone deriving sensitivity from device data, which includes every dynamic</w:t>
      </w:r>
      <w:r>
        <w:t xml:space="preserve"> </w:t>
      </w:r>
      <w:r>
        <w:t xml:space="preserve">sensitivity equation in current use, the finding is that the quantity being derived</w:t>
      </w:r>
      <w:r>
        <w:t xml:space="preserve"> </w:t>
      </w:r>
      <w:r>
        <w:t xml:space="preserve">is defined by the construction as much as by the person. Two defensible choices of</w:t>
      </w:r>
      <w:r>
        <w:t xml:space="preserve"> </w:t>
      </w:r>
      <w:r>
        <w:t xml:space="preserve">denominator on the same overnight records differ by more than threefold, and the</w:t>
      </w:r>
      <w:r>
        <w:t xml:space="preserve"> </w:t>
      </w:r>
      <w:r>
        <w:t xml:space="preserve">choice that ignores insulin delivered during the window reads highest exactly where</w:t>
      </w:r>
      <w:r>
        <w:t xml:space="preserve"> </w:t>
      </w:r>
      <w:r>
        <w:t xml:space="preserve">an algorithm is delivering it. An equation calibrated against one construction</w:t>
      </w:r>
      <w:r>
        <w:t xml:space="preserve"> </w:t>
      </w:r>
      <w:r>
        <w:t xml:space="preserve">inherits its bias and there is no way to read that bias off the published number.</w:t>
      </w:r>
    </w:p>
    <w:p>
      <w:pPr>
        <w:pStyle w:val="BodyText"/>
      </w:pPr>
      <w:r>
        <w:t xml:space="preserve">For anyone reporting such an estimate, the practical recommendation is to publish</w:t>
      </w:r>
      <w:r>
        <w:t xml:space="preserve"> </w:t>
      </w:r>
      <w:r>
        <w:t xml:space="preserve">the denominator in full and the ratio against entered settings alongside the</w:t>
      </w:r>
      <w:r>
        <w:t xml:space="preserve"> </w:t>
      </w:r>
      <w:r>
        <w:t xml:space="preserve">estimate. Every construction here looks defensible in isolation and they span 0.30</w:t>
      </w:r>
      <w:r>
        <w:t xml:space="preserve"> </w:t>
      </w:r>
      <w:r>
        <w:t xml:space="preserve">to 1.12, so neither the estimate nor the ratio means anything without the</w:t>
      </w:r>
      <w:r>
        <w:t xml:space="preserve"> </w:t>
      </w:r>
      <w:r>
        <w:t xml:space="preserve">construction attached.</w:t>
      </w:r>
    </w:p>
    <w:p>
      <w:pPr>
        <w:pStyle w:val="BodyText"/>
      </w:pPr>
      <w:r>
        <w:t xml:space="preserve">The oref archive’s 0.41 turns out to be mostly aggregation. Its two anchors were</w:t>
      </w:r>
      <w:r>
        <w:t xml:space="preserve"> </w:t>
      </w:r>
      <w:r>
        <w:t xml:space="preserve">fitted on different subsets, the measured constant on 114 people and the entered</w:t>
      </w:r>
      <w:r>
        <w:t xml:space="preserve"> </w:t>
      </w:r>
      <w:r>
        <w:t xml:space="preserve">constant on 138, and both were regression fits rather than medians. Matching person</w:t>
      </w:r>
      <w:r>
        <w:t xml:space="preserve"> </w:t>
      </w:r>
      <w:r>
        <w:t xml:space="preserve">by person across the same 112 records and taking medians gives 207 measured against</w:t>
      </w:r>
      <w:r>
        <w:t xml:space="preserve"> </w:t>
      </w:r>
      <w:r>
        <w:t xml:space="preserve">333 entered, a ratio of 0.62, and the median of per-person ratios agrees at 0.60</w:t>
      </w:r>
      <w:r>
        <w:t xml:space="preserve"> </w:t>
      </w:r>
      <w:r>
        <w:t xml:space="preserve">with quartiles of 0.50 to 0.81. As a Walsh-style constant those records give 1432</w:t>
      </w:r>
      <w:r>
        <w:t xml:space="preserve"> </w:t>
      </w:r>
      <w:r>
        <w:t xml:space="preserve">measured against 2219 entered, which sits inside the range the trial cohorts return</w:t>
      </w:r>
      <w:r>
        <w:t xml:space="preserve"> </w:t>
      </w:r>
      <w:r>
        <w:t xml:space="preserve">rather than below it.</w:t>
      </w:r>
    </w:p>
    <w:p>
      <w:pPr>
        <w:pStyle w:val="BodyText"/>
      </w:pPr>
      <w:r>
        <w:t xml:space="preserve">That leaves 0.60 on the oref archive against 0.72 to 1.12 on the trial cohorts</w:t>
      </w:r>
      <w:r>
        <w:t xml:space="preserve"> </w:t>
      </w:r>
      <w:r>
        <w:t xml:space="preserve">under the same construction, a real difference and a much smaller one. The two</w:t>
      </w:r>
      <w:r>
        <w:t xml:space="preserve"> </w:t>
      </w:r>
      <w:r>
        <w:t xml:space="preserve">remaining candidates are the cohorts, self-selected users of open-source systems</w:t>
      </w:r>
      <w:r>
        <w:t xml:space="preserve"> </w:t>
      </w:r>
      <w:r>
        <w:t xml:space="preserve">who have tuned their own settings over years against trial participants given</w:t>
      </w:r>
      <w:r>
        <w:t xml:space="preserve"> </w:t>
      </w:r>
      <w:r>
        <w:t xml:space="preserve">theirs, and the provenance of insulin on board, recorded by the loop in one case</w:t>
      </w:r>
      <w:r>
        <w:t xml:space="preserve"> </w:t>
      </w:r>
      <w:r>
        <w:t xml:space="preserve">and reconstructed in the other.</w:t>
      </w:r>
    </w:p>
    <w:p>
      <w:pPr>
        <w:pStyle w:val="BodyText"/>
      </w:pPr>
      <w:r>
        <w:t xml:space="preserve">The general point is worth more than either number. Moving between two defensible</w:t>
      </w:r>
      <w:r>
        <w:t xml:space="preserve"> </w:t>
      </w:r>
      <w:r>
        <w:t xml:space="preserve">aggregations of identical records shifted the ratio by half as much as moving</w:t>
      </w:r>
      <w:r>
        <w:t xml:space="preserve"> </w:t>
      </w:r>
      <w:r>
        <w:t xml:space="preserve">between two different datasets did. An aggregation choice can look like a finding,</w:t>
      </w:r>
      <w:r>
        <w:t xml:space="preserve"> </w:t>
      </w:r>
      <w:r>
        <w:t xml:space="preserve">and in this series it did for over a year.</w:t>
      </w:r>
    </w:p>
    <w:bookmarkEnd w:id="14"/>
    <w:bookmarkStart w:id="15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Analysis is local, in Python, against the Jaeb releases loaded into PostgreSQL</w:t>
      </w:r>
      <w:r>
        <w:t xml:space="preserve"> </w:t>
      </w:r>
      <w:r>
        <w:t xml:space="preserve">17.9 with TimescaleDB 2.26.1. The corpus holds 132,467,585 CGM readings,</w:t>
      </w:r>
      <w:r>
        <w:t xml:space="preserve"> </w:t>
      </w:r>
      <w:r>
        <w:t xml:space="preserve">68,995,020 basal records and 5,154,053 bolus records.</w:t>
      </w:r>
    </w:p>
    <w:p>
      <w:pPr>
        <w:pStyle w:val="BodyText"/>
      </w:pPr>
      <w:r>
        <w:t xml:space="preserve">Delivery is taken net of the programmed basal throughout, since basal offsets</w:t>
      </w:r>
      <w:r>
        <w:t xml:space="preserve"> </w:t>
      </w:r>
      <w:r>
        <w:t xml:space="preserve">hepatic glucose output rather than lowering glucose. The programmed rate comes</w:t>
      </w:r>
      <w:r>
        <w:t xml:space="preserve"> </w:t>
      </w:r>
      <w:r>
        <w:t xml:space="preserve">from the recorded schedule in Loop and REPLACE-BG, from the 48 half-hourly rates</w:t>
      </w:r>
      <w:r>
        <w:t xml:space="preserve"> </w:t>
      </w:r>
      <w:r>
        <w:t xml:space="preserve">on the case report form in DCLP3, DCLP5 and PEDAP, and from each person’s own</w:t>
      </w:r>
      <w:r>
        <w:t xml:space="preserve"> </w:t>
      </w:r>
      <w:r>
        <w:t xml:space="preserve">median delivery at that half hour in IOBP2, which programmes no basal at all.</w:t>
      </w:r>
    </w:p>
    <w:p>
      <w:pPr>
        <w:pStyle w:val="BodyText"/>
      </w:pPr>
      <w:r>
        <w:t xml:space="preserve">Entered settings are the per-person median of what was recorded at the time of</w:t>
      </w:r>
      <w:r>
        <w:t xml:space="preserve"> </w:t>
      </w:r>
      <w:r>
        <w:t xml:space="preserve">dosing or on the case report form. They were checked against the pump’s own</w:t>
      </w:r>
      <w:r>
        <w:t xml:space="preserve"> </w:t>
      </w:r>
      <w:r>
        <w:t xml:space="preserve">arithmetic: the sensitivity implied by dividing the glucose excess by the</w:t>
      </w:r>
      <w:r>
        <w:t xml:space="preserve"> </w:t>
      </w:r>
      <w:r>
        <w:t xml:space="preserve">recommended correction agrees with the recorded column at a ratio of 1.000 in</w:t>
      </w:r>
      <w:r>
        <w:t xml:space="preserve"> </w:t>
      </w:r>
      <w:r>
        <w:t xml:space="preserve">Loop.</w:t>
      </w:r>
    </w:p>
    <w:p>
      <w:pPr>
        <w:pStyle w:val="BodyText"/>
      </w:pPr>
      <w:r>
        <w:t xml:space="preserve">Code is at https://github.com/tim2000s/dynamic-isf-calculations. The assembled</w:t>
      </w:r>
      <w:r>
        <w:t xml:space="preserve"> </w:t>
      </w:r>
      <w:r>
        <w:t xml:space="preserve">ratios are produced by</w:t>
      </w:r>
      <w:r>
        <w:t xml:space="preserve"> </w:t>
      </w:r>
      <w:r>
        <w:rPr>
          <w:rStyle w:val="VerbatimChar"/>
        </w:rPr>
        <w:t xml:space="preserve">inv009/ratio_evidence.py</w:t>
      </w:r>
      <w:r>
        <w:t xml:space="preserve">, the estimators by</w:t>
      </w:r>
      <w:r>
        <w:t xml:space="preserve"> </w:t>
      </w:r>
      <w:r>
        <w:rPr>
          <w:rStyle w:val="VerbatimChar"/>
        </w:rPr>
        <w:t xml:space="preserve">inv009/correction_landing.py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inv009/correction_routes.py</w:t>
      </w:r>
      <w:r>
        <w:t xml:space="preserve">, and the</w:t>
      </w:r>
      <w:r>
        <w:t xml:space="preserve"> </w:t>
      </w:r>
      <w:r>
        <w:t xml:space="preserve">simulation check by</w:t>
      </w:r>
      <w:r>
        <w:t xml:space="preserve"> </w:t>
      </w:r>
      <w:r>
        <w:rPr>
          <w:rStyle w:val="VerbatimChar"/>
        </w:rPr>
        <w:t xml:space="preserve">inv009/audit_estimators.py</w:t>
      </w:r>
      <w:r>
        <w:t xml:space="preserve">.</w:t>
      </w:r>
    </w:p>
    <w:bookmarkEnd w:id="15"/>
    <w:bookmarkStart w:id="1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source of the data is the Loop Study (sponsored by the Jaeb Center for Health</w:t>
      </w:r>
      <w:r>
        <w:t xml:space="preserve"> </w:t>
      </w:r>
      <w:r>
        <w:t xml:space="preserve">Research and funded by the Helmsley Charitable Trust), but the analyses, content</w:t>
      </w:r>
      <w:r>
        <w:t xml:space="preserve"> </w:t>
      </w:r>
      <w:r>
        <w:t xml:space="preserve">and conclusions presented herein are solely the responsibility of the authors and</w:t>
      </w:r>
      <w:r>
        <w:t xml:space="preserve"> </w:t>
      </w:r>
      <w:r>
        <w:t xml:space="preserve">have not been reviewed or approved by the study sponsor.</w:t>
      </w:r>
    </w:p>
    <w:p>
      <w:pPr>
        <w:pStyle w:val="BodyText"/>
      </w:pPr>
      <w:r>
        <w:t xml:space="preserve">The source of the data is the Insulin Only Bionic Pancreas Pivotal Trial, but the</w:t>
      </w:r>
      <w:r>
        <w:t xml:space="preserve"> </w:t>
      </w:r>
      <w:r>
        <w:t xml:space="preserve">analyses, content and conclusions presented herein are solely the responsibility</w:t>
      </w:r>
      <w:r>
        <w:t xml:space="preserve"> </w:t>
      </w:r>
      <w:r>
        <w:t xml:space="preserve">of the authors and have not been reviewed or approved by the Bionic Pancreas</w:t>
      </w:r>
      <w:r>
        <w:t xml:space="preserve"> </w:t>
      </w:r>
      <w:r>
        <w:t xml:space="preserve">Research Group or Beta Bionics.</w:t>
      </w:r>
    </w:p>
    <w:p>
      <w:pPr>
        <w:pStyle w:val="BodyText"/>
      </w:pPr>
      <w:r>
        <w:t xml:space="preserve">Data from REPLACE-BG, DCLP3, DCLP5 and PEDAP were supplied by the Jaeb Center for</w:t>
      </w:r>
      <w:r>
        <w:t xml:space="preserve"> </w:t>
      </w:r>
      <w:r>
        <w:t xml:space="preserve">Health Research. The author thanks the participants of all six cohorts and the</w:t>
      </w:r>
      <w:r>
        <w:t xml:space="preserve"> </w:t>
      </w:r>
      <w:r>
        <w:t xml:space="preserve">curators of the OpenAPS Data Commons.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far observational insulin sensitivity sits below entered settings depends on how it is measured</dc:title>
  <dc:creator>Tim Street, Diabettech</dc:creator>
  <cp:keywords/>
  <dcterms:created xsi:type="dcterms:W3CDTF">2026-08-28T08:43:44Z</dcterms:created>
  <dcterms:modified xsi:type="dcterms:W3CDTF">2026-08-28T08:43:44Z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August 2026</vt:lpwstr>
  </property>
  <property fmtid="{D5CDD505-2E9C-101B-9397-08002B2CF9AE}" pid="3" name="subtitle">
    <vt:lpwstr>Six trial cohorts, 1,679 people, and a gap that ranges from 0.30 to 1.12 according to construction</vt:lpwstr>
  </property>
</Properties>
</file>