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7.png" ContentType="image/png"/>
  <Override PartName="/word/media/rId1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Dynamic ISF, glucose and carbohydrate: a summary</w:t>
      </w:r>
    </w:p>
    <w:p>
      <w:pPr>
        <w:pStyle w:val="Subtitle"/>
      </w:pPr>
      <w:r>
        <w:t xml:space="preserve">Three findings from testing both equations against 1,684 people in seven public study archives</w:t>
      </w:r>
    </w:p>
    <w:p>
      <w:pPr>
        <w:pStyle w:val="Author"/>
      </w:pPr>
      <w:r>
        <w:t xml:space="preserve">Tim Street</w:t>
      </w:r>
    </w:p>
    <w:p>
      <w:pPr>
        <w:pStyle w:val="Date"/>
      </w:pPr>
      <w:r>
        <w:t xml:space="preserve">25 August 2026</w:t>
      </w:r>
    </w:p>
    <w:bookmarkStart w:id="9" w:name="what-was-done"/>
    <w:p>
      <w:pPr>
        <w:pStyle w:val="Heading2"/>
      </w:pPr>
      <w:r>
        <w:t xml:space="preserve">What was done</w:t>
      </w:r>
    </w:p>
    <w:p>
      <w:pPr>
        <w:pStyle w:val="FirstParagraph"/>
      </w:pPr>
      <w:r>
        <w:t xml:space="preserve">Both dynamic ISF equations calculate a sensitivity factor from two inputs: how</w:t>
      </w:r>
      <w:r>
        <w:t xml:space="preserve"> </w:t>
      </w:r>
      <w:r>
        <w:t xml:space="preserve">much insulin somebody has been using, and where their glucose sits. This work</w:t>
      </w:r>
      <w:r>
        <w:t xml:space="preserve"> </w:t>
      </w:r>
      <w:r>
        <w:t xml:space="preserve">tested both against seven public study archives, covering about 1,700 people,</w:t>
      </w:r>
      <w:r>
        <w:t xml:space="preserve"> </w:t>
      </w:r>
      <w:r>
        <w:t xml:space="preserve">ages 2 to 82, with total daily doses from 7 to 107 units. One of those archives,</w:t>
      </w:r>
      <w:r>
        <w:t xml:space="preserve"> </w:t>
      </w:r>
      <w:r>
        <w:t xml:space="preserve">REPLACE-BG, ran on a pump and a sensor with no algorithm between them, and two</w:t>
      </w:r>
      <w:r>
        <w:t xml:space="preserve"> </w:t>
      </w:r>
      <w:r>
        <w:t xml:space="preserve">recorded what people ate.</w:t>
      </w:r>
    </w:p>
    <w:p>
      <w:pPr>
        <w:pStyle w:val="BodyText"/>
      </w:pPr>
      <w:r>
        <w:t xml:space="preserve">Sensitivity was rebuilt from delivered basal and boluses across overnight</w:t>
      </w:r>
      <w:r>
        <w:t xml:space="preserve"> </w:t>
      </w:r>
      <w:r>
        <w:t xml:space="preserve">periods, then compared against what each equation calculates at the same moment.</w:t>
      </w:r>
      <w:r>
        <w:t xml:space="preserve"> </w:t>
      </w:r>
      <w:r>
        <w:t xml:space="preserve">The full paper carries the method and its checks. Three findings are worth</w:t>
      </w:r>
      <w:r>
        <w:t xml:space="preserve"> </w:t>
      </w:r>
      <w:r>
        <w:t xml:space="preserve">stating on their own.</w:t>
      </w:r>
    </w:p>
    <w:bookmarkEnd w:id="9"/>
    <w:bookmarkStart w:id="16" w:name="Xdb00f3cfbbee33dbe1448a437257711ac475b30"/>
    <w:p>
      <w:pPr>
        <w:pStyle w:val="Heading2"/>
      </w:pPr>
      <w:r>
        <w:t xml:space="preserve">One: with carbohydrate excluded, glucose barely moves sensitivity, and moves it the other way</w:t>
      </w:r>
    </w:p>
    <w:p>
      <w:pPr>
        <w:pStyle w:val="FirstParagraph"/>
      </w:pPr>
      <w:r>
        <w:t xml:space="preserve">Both equations reduce sensitivity when glucose runs high. The reasoning is</w:t>
      </w:r>
      <w:r>
        <w:t xml:space="preserve"> </w:t>
      </w:r>
      <w:r>
        <w:t xml:space="preserve">familiar and reasonable: insulin is thought to work less well at higher glucose,</w:t>
      </w:r>
      <w:r>
        <w:t xml:space="preserve"> </w:t>
      </w:r>
      <w:r>
        <w:t xml:space="preserve">so a correction should be larger.</w:t>
      </w:r>
    </w:p>
    <w:p>
      <w:pPr>
        <w:pStyle w:val="BodyText"/>
      </w:pPr>
      <w:r>
        <w:t xml:space="preserve">Measured across overnight periods at least six hours clear of any recorded meal,</w:t>
      </w:r>
      <w:r>
        <w:t xml:space="preserve"> </w:t>
      </w:r>
      <w:r>
        <w:t xml:space="preserve">sensitivity moves the other way.</w:t>
      </w:r>
    </w:p>
    <w:p>
      <w:pPr>
        <w:pStyle w:val="CaptionedFigure"/>
      </w:pPr>
      <w:r>
        <w:drawing>
          <wp:inline>
            <wp:extent cx="5334000" cy="3271784"/>
            <wp:effectExtent b="0" l="0" r="0" t="0"/>
            <wp:docPr descr="Sensitivity by glucose band against both equations" title="" id="11" name="Picture"/>
            <a:graphic>
              <a:graphicData uri="http://schemas.openxmlformats.org/drawingml/2006/picture">
                <pic:pic>
                  <pic:nvPicPr>
                    <pic:cNvPr descr="../charts/inv009/fig_glucose_profil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Sensitivity by glucose band against both equations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v1 assumes</w:t>
            </w:r>
          </w:p>
        </w:tc>
        <w:tc>
          <w:tcPr/>
          <w:p>
            <w:pPr>
              <w:pStyle w:val="Compact"/>
            </w:pPr>
            <w:r>
              <w:t xml:space="preserve">v2 assumes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to 120 mg/dL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to 150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 to 190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 to 300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</w:tr>
    </w:tbl>
    <w:p>
      <w:pPr>
        <w:pStyle w:val="BodyText"/>
      </w:pPr>
      <w:r>
        <w:t xml:space="preserve">Those figures scale the 120 to 150 band to 1.00. A unit does about a third less</w:t>
      </w:r>
      <w:r>
        <w:t xml:space="preserve"> </w:t>
      </w:r>
      <w:r>
        <w:t xml:space="preserve">near target than it does mid-range, then slightly more as glucose climbs. Both</w:t>
      </w:r>
      <w:r>
        <w:t xml:space="preserve"> </w:t>
      </w:r>
      <w:r>
        <w:t xml:space="preserve">equations have that profile running the other way.</w:t>
      </w:r>
    </w:p>
    <w:p>
      <w:pPr>
        <w:pStyle w:val="BodyText"/>
      </w:pPr>
      <w:r>
        <w:t xml:space="preserve">The near-target end explains most of it. That is where the body defends against a</w:t>
      </w:r>
      <w:r>
        <w:t xml:space="preserve"> </w:t>
      </w:r>
      <w:r>
        <w:t xml:space="preserve">further fall, so a unit achieves less there for reasons that have nothing to do</w:t>
      </w:r>
      <w:r>
        <w:t xml:space="preserve"> </w:t>
      </w:r>
      <w:r>
        <w:t xml:space="preserve">with high glucose resistance. Above 120 mg/dL the profile is close to flat.</w:t>
      </w:r>
    </w:p>
    <w:p>
      <w:pPr>
        <w:pStyle w:val="BodyText"/>
      </w:pPr>
      <w:r>
        <w:t xml:space="preserve">The movement is also small. Out of sample, six candidate glucose shapes including</w:t>
      </w:r>
      <w:r>
        <w:t xml:space="preserve"> </w:t>
      </w:r>
      <w:r>
        <w:t xml:space="preserve">both equations’ own landed within 0.05 mg/dL of each other at predicting the</w:t>
      </w:r>
      <w:r>
        <w:t xml:space="preserve"> </w:t>
      </w:r>
      <w:r>
        <w:t xml:space="preserve">overnight fall, and a flat sensitivity ranked first. The threshold set before</w:t>
      </w:r>
      <w:r>
        <w:t xml:space="preserve"> </w:t>
      </w:r>
      <w:r>
        <w:t xml:space="preserve">running the comparison was an improvement of half a milligram per decilitre.</w:t>
      </w:r>
      <w:r>
        <w:t xml:space="preserve"> </w:t>
      </w:r>
      <w:r>
        <w:t xml:space="preserve">Nothing reached a tenth of that.</w:t>
      </w:r>
    </w:p>
    <w:p>
      <w:pPr>
        <w:pStyle w:val="BodyText"/>
      </w:pPr>
      <w:r>
        <w:t xml:space="preserve">Three separate methods return the same reversal, including one that computes a</w:t>
      </w:r>
      <w:r>
        <w:t xml:space="preserve"> </w:t>
      </w:r>
      <w:r>
        <w:t xml:space="preserve">sensitivity at every glucose reading and fits no curve to anything.</w:t>
      </w:r>
    </w:p>
    <w:p>
      <w:pPr>
        <w:pStyle w:val="CaptionedFigure"/>
      </w:pPr>
      <w:r>
        <w:drawing>
          <wp:inline>
            <wp:extent cx="5334000" cy="3331342"/>
            <wp:effectExtent b="0" l="0" r="0" t="0"/>
            <wp:docPr descr="Measured sensitivity against both equations at the same reading" title="" id="14" name="Picture"/>
            <a:graphic>
              <a:graphicData uri="http://schemas.openxmlformats.org/drawingml/2006/picture">
                <pic:pic>
                  <pic:nvPicPr>
                    <pic:cNvPr descr="../charts/inv009/fig_pointwis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Measured sensitivity against both equations at the same reading</w:t>
      </w:r>
    </w:p>
    <w:bookmarkEnd w:id="16"/>
    <w:bookmarkStart w:id="23" w:name="X423c83caed5739a831f5838e26c1b2ba826b84c"/>
    <w:p>
      <w:pPr>
        <w:pStyle w:val="Heading2"/>
      </w:pPr>
      <w:r>
        <w:t xml:space="preserve">Two: the original picture may have been shaped by carbohydrate</w:t>
      </w:r>
    </w:p>
    <w:p>
      <w:pPr>
        <w:pStyle w:val="FirstParagraph"/>
      </w:pPr>
      <w:r>
        <w:t xml:space="preserve">The effect these equations encode is visible in data. It is just not visible once</w:t>
      </w:r>
      <w:r>
        <w:t xml:space="preserve"> </w:t>
      </w:r>
      <w:r>
        <w:t xml:space="preserve">meals are excluded.</w:t>
      </w:r>
    </w:p>
    <w:p>
      <w:pPr>
        <w:pStyle w:val="BodyText"/>
      </w:pPr>
      <w:r>
        <w:t xml:space="preserve">Within four hours of a meal somebody logged, measured sensitivity comes out at</w:t>
      </w:r>
      <w:r>
        <w:t xml:space="preserve"> </w:t>
      </w:r>
      <w:r>
        <w:t xml:space="preserve">-1.62 mg/dL per unit.</w:t>
      </w:r>
    </w:p>
    <w:p>
      <w:pPr>
        <w:pStyle w:val="CaptionedFigure"/>
      </w:pPr>
      <w:r>
        <w:drawing>
          <wp:inline>
            <wp:extent cx="5334000" cy="2804039"/>
            <wp:effectExtent b="0" l="0" r="0" t="0"/>
            <wp:docPr descr="Measured sensitivity by time since the last meal" title="" id="18" name="Picture"/>
            <a:graphic>
              <a:graphicData uri="http://schemas.openxmlformats.org/drawingml/2006/picture">
                <pic:pic>
                  <pic:nvPicPr>
                    <pic:cNvPr descr="../charts/inv009/fig_carb_tai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Measured sensitivity by time since the last meal</w:t>
      </w:r>
    </w:p>
    <w:p>
      <w:pPr>
        <w:pStyle w:val="BodyText"/>
      </w:pPr>
      <w:r>
        <w:t xml:space="preserve">Nothing has a negative sensitivity. The number says glucose rose while insulin</w:t>
      </w:r>
      <w:r>
        <w:t xml:space="preserve"> </w:t>
      </w:r>
      <w:r>
        <w:t xml:space="preserve">acted, which is what happens when carbohydrate keeps arriving after the</w:t>
      </w:r>
      <w:r>
        <w:t xml:space="preserve"> </w:t>
      </w:r>
      <w:r>
        <w:t xml:space="preserve">absorption model has finished counting it. By six to nine hours out, the same</w:t>
      </w:r>
      <w:r>
        <w:t xml:space="preserve"> </w:t>
      </w:r>
      <w:r>
        <w:t xml:space="preserve">people measure 6.06.</w:t>
      </w:r>
    </w:p>
    <w:p>
      <w:pPr>
        <w:pStyle w:val="BodyText"/>
      </w:pPr>
      <w:r>
        <w:t xml:space="preserve">That matters for how the glucose term looks in any dataset that has not excluded</w:t>
      </w:r>
      <w:r>
        <w:t xml:space="preserve"> </w:t>
      </w:r>
      <w:r>
        <w:t xml:space="preserve">meals. The apparent glucose effect tracks distance from the last meal closely.</w:t>
      </w:r>
    </w:p>
    <w:p>
      <w:pPr>
        <w:pStyle w:val="CaptionedFigure"/>
      </w:pPr>
      <w:r>
        <w:drawing>
          <wp:inline>
            <wp:extent cx="5334000" cy="3177292"/>
            <wp:effectExtent b="0" l="0" r="0" t="0"/>
            <wp:docPr descr="Apparent glucose dependence by time since the last meal" title="" id="21" name="Picture"/>
            <a:graphic>
              <a:graphicData uri="http://schemas.openxmlformats.org/drawingml/2006/picture">
                <pic:pic>
                  <pic:nvPicPr>
                    <pic:cNvPr descr="../charts/inv009/fig_carb_glucos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Apparent glucose dependence by time since the last meal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since the last recorded meal</w:t>
            </w:r>
          </w:p>
        </w:tc>
        <w:tc>
          <w:tcPr/>
          <w:p>
            <w:pPr>
              <w:pStyle w:val="Compact"/>
            </w:pPr>
            <w:r>
              <w:t xml:space="preserve">Apparent glucose 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4 hours</w:t>
            </w:r>
          </w:p>
        </w:tc>
        <w:tc>
          <w:tcPr/>
          <w:p>
            <w:pPr>
              <w:pStyle w:val="Compact"/>
            </w:pPr>
            <w:r>
              <w:t xml:space="preserve">+0.610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to 6 hours</w:t>
            </w:r>
          </w:p>
        </w:tc>
        <w:tc>
          <w:tcPr/>
          <w:p>
            <w:pPr>
              <w:pStyle w:val="Compact"/>
            </w:pPr>
            <w:r>
              <w:t xml:space="preserve">+0.308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to 9 hours</w:t>
            </w:r>
          </w:p>
        </w:tc>
        <w:tc>
          <w:tcPr/>
          <w:p>
            <w:pPr>
              <w:pStyle w:val="Compact"/>
            </w:pPr>
            <w:r>
              <w:t xml:space="preserve">+0.207</w:t>
            </w:r>
          </w:p>
        </w:tc>
      </w:tr>
    </w:tbl>
    <w:p>
      <w:pPr>
        <w:pStyle w:val="BodyText"/>
      </w:pPr>
      <w:r>
        <w:t xml:space="preserve">Each band is measured from different periods, and the decline is steady. Close to</w:t>
      </w:r>
      <w:r>
        <w:t xml:space="preserve"> </w:t>
      </w:r>
      <w:r>
        <w:t xml:space="preserve">a meal the effect is roughly three times its size in clean fasting.</w:t>
      </w:r>
    </w:p>
    <w:p>
      <w:pPr>
        <w:pStyle w:val="BodyText"/>
      </w:pPr>
      <w:r>
        <w:t xml:space="preserve">Somebody evaluating dynamic ISF on periods that included the hours after eating</w:t>
      </w:r>
      <w:r>
        <w:t xml:space="preserve"> </w:t>
      </w:r>
      <w:r>
        <w:t xml:space="preserve">would therefore see much of what these equations encode. They would see</w:t>
      </w:r>
      <w:r>
        <w:t xml:space="preserve"> </w:t>
      </w:r>
      <w:r>
        <w:t xml:space="preserve">sensitivity apparently falling as glucose rose, because glucose was high and</w:t>
      </w:r>
      <w:r>
        <w:t xml:space="preserve"> </w:t>
      </w:r>
      <w:r>
        <w:t xml:space="preserve">insulin looked weak for a reason nobody had accounted for. This is offered as a</w:t>
      </w:r>
      <w:r>
        <w:t xml:space="preserve"> </w:t>
      </w:r>
      <w:r>
        <w:t xml:space="preserve">plausible account of how the original picture formed rather than as a</w:t>
      </w:r>
      <w:r>
        <w:t xml:space="preserve"> </w:t>
      </w:r>
      <w:r>
        <w:t xml:space="preserve">reconstruction of it. What can be said from these archives is that the effect is</w:t>
      </w:r>
      <w:r>
        <w:t xml:space="preserve"> </w:t>
      </w:r>
      <w:r>
        <w:t xml:space="preserve">around three times larger where uncounted carbohydrate is present.</w:t>
      </w:r>
    </w:p>
    <w:bookmarkEnd w:id="23"/>
    <w:bookmarkStart w:id="24" w:name="X801178cee76b05bcdb53a8b43c38025153166a3"/>
    <w:p>
      <w:pPr>
        <w:pStyle w:val="Heading2"/>
      </w:pPr>
      <w:r>
        <w:t xml:space="preserve">Three: where the equation helps, it may be offsetting a different model’s error</w:t>
      </w:r>
    </w:p>
    <w:p>
      <w:pPr>
        <w:pStyle w:val="FirstParagraph"/>
      </w:pPr>
      <w:r>
        <w:t xml:space="preserve">There is a reading of this that is more sympathetic to dynamic ISF than the first</w:t>
      </w:r>
      <w:r>
        <w:t xml:space="preserve"> </w:t>
      </w:r>
      <w:r>
        <w:t xml:space="preserve">two findings suggest, and it deserves stating.</w:t>
      </w:r>
    </w:p>
    <w:p>
      <w:pPr>
        <w:pStyle w:val="BodyText"/>
      </w:pPr>
      <w:r>
        <w:t xml:space="preserve">Carbohydrate absorption models in these systems are approximations, and the</w:t>
      </w:r>
      <w:r>
        <w:t xml:space="preserve"> </w:t>
      </w:r>
      <w:r>
        <w:t xml:space="preserve">measurement above shows one specific way they fall short: they stop counting</w:t>
      </w:r>
      <w:r>
        <w:t xml:space="preserve"> </w:t>
      </w:r>
      <w:r>
        <w:t xml:space="preserve">before the carbohydrate stops arriving. During that tail, glucose runs high and</w:t>
      </w:r>
      <w:r>
        <w:t xml:space="preserve"> </w:t>
      </w:r>
      <w:r>
        <w:t xml:space="preserve">more insulin is genuinely needed than the system’s own accounting calls for.</w:t>
      </w:r>
    </w:p>
    <w:p>
      <w:pPr>
        <w:pStyle w:val="BodyText"/>
      </w:pPr>
      <w:r>
        <w:t xml:space="preserve">A glucose-driven sensitivity term delivers more insulin when glucose is high.</w:t>
      </w:r>
      <w:r>
        <w:t xml:space="preserve"> </w:t>
      </w:r>
      <w:r>
        <w:t xml:space="preserve">Overnight and away from food, this analysis finds that adjustment pointing the</w:t>
      </w:r>
      <w:r>
        <w:t xml:space="preserve"> </w:t>
      </w:r>
      <w:r>
        <w:t xml:space="preserve">wrong way. In the hours after a meal, it delivers extra insulin at exactly the</w:t>
      </w:r>
      <w:r>
        <w:t xml:space="preserve"> </w:t>
      </w:r>
      <w:r>
        <w:t xml:space="preserve">times uncounted carbohydrate is arriving.</w:t>
      </w:r>
    </w:p>
    <w:p>
      <w:pPr>
        <w:pStyle w:val="BodyText"/>
      </w:pPr>
      <w:r>
        <w:t xml:space="preserve">So for people whose meals are frequently under-counted, whether through</w:t>
      </w:r>
      <w:r>
        <w:t xml:space="preserve"> </w:t>
      </w:r>
      <w:r>
        <w:t xml:space="preserve">unannounced eating or through absorption running longer than the model allows,</w:t>
      </w:r>
      <w:r>
        <w:t xml:space="preserve"> </w:t>
      </w:r>
      <w:r>
        <w:t xml:space="preserve">the two errors work in opposite directions and can offset. The equation would be</w:t>
      </w:r>
      <w:r>
        <w:t xml:space="preserve"> </w:t>
      </w:r>
      <w:r>
        <w:t xml:space="preserve">compensating for the carbohydrate model rather than describing insulin</w:t>
      </w:r>
      <w:r>
        <w:t xml:space="preserve"> </w:t>
      </w:r>
      <w:r>
        <w:t xml:space="preserve">sensitivity, and it would still produce a better outcome for that person.</w:t>
      </w:r>
    </w:p>
    <w:p>
      <w:pPr>
        <w:pStyle w:val="BodyText"/>
      </w:pPr>
      <w:r>
        <w:t xml:space="preserve">The evidence here supports the mechanism at the population level: the apparent</w:t>
      </w:r>
      <w:r>
        <w:t xml:space="preserve"> </w:t>
      </w:r>
      <w:r>
        <w:t xml:space="preserve">glucose effect is three times larger near meals than away from them. A</w:t>
      </w:r>
      <w:r>
        <w:t xml:space="preserve"> </w:t>
      </w:r>
      <w:r>
        <w:t xml:space="preserve">per-person version of the same test, asking whether people with deeper</w:t>
      </w:r>
      <w:r>
        <w:t xml:space="preserve"> </w:t>
      </w:r>
      <w:r>
        <w:t xml:space="preserve">carbohydrate tails show stronger glucose dependence, did not reach significance</w:t>
      </w:r>
      <w:r>
        <w:t xml:space="preserve"> </w:t>
      </w:r>
      <w:r>
        <w:t xml:space="preserve">once terms shared between the two measurements were removed. The mechanism is</w:t>
      </w:r>
      <w:r>
        <w:t xml:space="preserve"> </w:t>
      </w:r>
      <w:r>
        <w:t xml:space="preserve">consistent with what these archives show, and the individual case is not</w:t>
      </w:r>
      <w:r>
        <w:t xml:space="preserve"> </w:t>
      </w:r>
      <w:r>
        <w:t xml:space="preserve">established by them.</w:t>
      </w:r>
    </w:p>
    <w:bookmarkEnd w:id="24"/>
    <w:bookmarkStart w:id="25" w:name="what-this-does-not-say"/>
    <w:p>
      <w:pPr>
        <w:pStyle w:val="Heading2"/>
      </w:pPr>
      <w:r>
        <w:t xml:space="preserve">What this does not say</w:t>
      </w:r>
    </w:p>
    <w:p>
      <w:pPr>
        <w:pStyle w:val="FirstParagraph"/>
      </w:pPr>
      <w:r>
        <w:t xml:space="preserve">It does not say the total daily dose half of these equations is wrong. That</w:t>
      </w:r>
      <w:r>
        <w:t xml:space="preserve"> </w:t>
      </w:r>
      <w:r>
        <w:t xml:space="preserve">relationship is real, survives holding recent carbohydrate constant, and appears</w:t>
      </w:r>
      <w:r>
        <w:t xml:space="preserve"> </w:t>
      </w:r>
      <w:r>
        <w:t xml:space="preserve">in a model given no functional form to fit. Its exponent measures between about</w:t>
      </w:r>
      <w:r>
        <w:t xml:space="preserve"> </w:t>
      </w:r>
      <w:r>
        <w:t xml:space="preserve">-0.65 and -0.84, against the -1 that v1 assumes and the -2 that v2 assumes.</w:t>
      </w:r>
    </w:p>
    <w:p>
      <w:pPr>
        <w:pStyle w:val="BodyText"/>
      </w:pPr>
      <w:r>
        <w:t xml:space="preserve">It does not cover the hours after a meal as a dosing problem. Those hours appear</w:t>
      </w:r>
      <w:r>
        <w:t xml:space="preserve"> </w:t>
      </w:r>
      <w:r>
        <w:t xml:space="preserve">here only well enough to show sensitivity turning negative. Working out what a</w:t>
      </w:r>
      <w:r>
        <w:t xml:space="preserve"> </w:t>
      </w:r>
      <w:r>
        <w:t xml:space="preserve">meal really does across them would put the carbohydrate absorption model itself</w:t>
      </w:r>
      <w:r>
        <w:t xml:space="preserve"> </w:t>
      </w:r>
      <w:r>
        <w:t xml:space="preserve">under examination, which is different work.</w:t>
      </w:r>
    </w:p>
    <w:p>
      <w:pPr>
        <w:pStyle w:val="BodyText"/>
      </w:pPr>
      <w:r>
        <w:t xml:space="preserve">It does not measure sensitivity that moves with the day rather than with the</w:t>
      </w:r>
      <w:r>
        <w:t xml:space="preserve"> </w:t>
      </w:r>
      <w:r>
        <w:t xml:space="preserve">dose. Exercise, illness and a change in diet all move it over hours and days, and</w:t>
      </w:r>
      <w:r>
        <w:t xml:space="preserve"> </w:t>
      </w:r>
      <w:r>
        <w:t xml:space="preserve">none of that is measured here.</w:t>
      </w:r>
    </w:p>
    <w:p>
      <w:pPr>
        <w:pStyle w:val="BodyText"/>
      </w:pPr>
      <w:r>
        <w:t xml:space="preserve">It gives no number to set. The method shrinks the sensitivities it measures, so</w:t>
      </w:r>
      <w:r>
        <w:t xml:space="preserve"> </w:t>
      </w:r>
      <w:r>
        <w:t xml:space="preserve">only the shape of the relationship comes through.</w:t>
      </w:r>
    </w:p>
    <w:bookmarkEnd w:id="25"/>
    <w:bookmarkStart w:id="26" w:name="where-that-leaves-things"/>
    <w:p>
      <w:pPr>
        <w:pStyle w:val="Heading2"/>
      </w:pPr>
      <w:r>
        <w:t xml:space="preserve">Where that leaves things</w:t>
      </w:r>
    </w:p>
    <w:p>
      <w:pPr>
        <w:pStyle w:val="FirstParagraph"/>
      </w:pPr>
      <w:r>
        <w:t xml:space="preserve">The total daily dose term in v1 holds up well and matches what people already run</w:t>
      </w:r>
      <w:r>
        <w:t xml:space="preserve"> </w:t>
      </w:r>
      <w:r>
        <w:t xml:space="preserve">their pumps at. The squared version in v2 finds no support in these archives, and</w:t>
      </w:r>
      <w:r>
        <w:t xml:space="preserve"> </w:t>
      </w:r>
      <w:r>
        <w:t xml:space="preserve">its errors are largest for children and for anyone on a small daily total.</w:t>
      </w:r>
    </w:p>
    <w:p>
      <w:pPr>
        <w:pStyle w:val="BodyText"/>
      </w:pPr>
      <w:r>
        <w:t xml:space="preserve">The glucose term in both points the wrong way once meals are excluded, though it</w:t>
      </w:r>
      <w:r>
        <w:t xml:space="preserve"> </w:t>
      </w:r>
      <w:r>
        <w:t xml:space="preserve">is small enough to cost little either way, and it may be doing useful work for</w:t>
      </w:r>
      <w:r>
        <w:t xml:space="preserve"> </w:t>
      </w:r>
      <w:r>
        <w:t xml:space="preserve">some people by standing in for carbohydrate the system has not fully counted.</w:t>
      </w:r>
    </w:p>
    <w:p>
      <w:pPr>
        <w:pStyle w:val="BodyText"/>
      </w:pPr>
      <w:r>
        <w:t xml:space="preserve">The people who built these equations were working from the same rule of thumb</w:t>
      </w:r>
      <w:r>
        <w:t xml:space="preserve"> </w:t>
      </w:r>
      <w:r>
        <w:t xml:space="preserve">most pump settings come from, and that rule survives this analysis in good shape.</w:t>
      </w:r>
      <w:r>
        <w:t xml:space="preserve"> </w:t>
      </w:r>
      <w:r>
        <w:t xml:space="preserve">The more interesting question these findings raise is not which sensitivity</w:t>
      </w:r>
      <w:r>
        <w:t xml:space="preserve"> </w:t>
      </w:r>
      <w:r>
        <w:t xml:space="preserve">exponent to use. It is what a meal is still doing four hours after somebody</w:t>
      </w:r>
      <w:r>
        <w:t xml:space="preserve"> </w:t>
      </w:r>
      <w:r>
        <w:t xml:space="preserve">logged it, and whether that is better addressed where it happens.</w:t>
      </w:r>
    </w:p>
    <w:p>
      <w:pPr>
        <w:pStyle w:val="BodyText"/>
      </w:pPr>
      <w:r>
        <w:t xml:space="preserve">Full analysis, methods and code:</w:t>
      </w:r>
      <w:r>
        <w:t xml:space="preserve"> </w:t>
      </w:r>
      <w:r>
        <w:rPr>
          <w:rStyle w:val="VerbatimChar"/>
        </w:rPr>
        <w:t xml:space="preserve">Dynamic-ISF-6-Public-Datasets-2026-08-25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dynamic-isf-calculations</w:t>
      </w:r>
      <w:r>
        <w:t xml:space="preserve"> </w:t>
      </w:r>
      <w:r>
        <w:t xml:space="preserve">repository.</w:t>
      </w:r>
    </w:p>
    <w:bookmarkEnd w:id="26"/>
    <w:bookmarkStart w:id="27" w:name="data-attribution"/>
    <w:p>
      <w:pPr>
        <w:pStyle w:val="Heading2"/>
      </w:pPr>
      <w:r>
        <w:t xml:space="preserve">Data attribution</w:t>
      </w:r>
    </w:p>
    <w:p>
      <w:pPr>
        <w:pStyle w:val="FirstParagraph"/>
      </w:pPr>
      <w:r>
        <w:t xml:space="preserve">The source of the data is the Loop Study (sponsored by the Jaeb Center for Health</w:t>
      </w:r>
      <w:r>
        <w:t xml:space="preserve"> </w:t>
      </w:r>
      <w:r>
        <w:t xml:space="preserve">Research and funded by the Helmsley Charitable Trust), but the analyses, content</w:t>
      </w:r>
      <w:r>
        <w:t xml:space="preserve"> </w:t>
      </w:r>
      <w:r>
        <w:t xml:space="preserve">and conclusions presented herein are solely the responsibility of the authors and</w:t>
      </w:r>
      <w:r>
        <w:t xml:space="preserve"> </w:t>
      </w:r>
      <w:r>
        <w:t xml:space="preserve">have not been reviewed or approved by the study sponsor.</w:t>
      </w:r>
    </w:p>
    <w:p>
      <w:pPr>
        <w:pStyle w:val="BodyText"/>
      </w:pPr>
      <w:r>
        <w:t xml:space="preserve">The source of the data is the Insulin Only Bionic Pancreas Pivotal Trial, but the</w:t>
      </w:r>
      <w:r>
        <w:t xml:space="preserve"> </w:t>
      </w:r>
      <w:r>
        <w:t xml:space="preserve">analyses, content and conclusions presented herein are solely the responsibility</w:t>
      </w:r>
      <w:r>
        <w:t xml:space="preserve"> </w:t>
      </w:r>
      <w:r>
        <w:t xml:space="preserve">of the authors and have not been reviewed or approved by the Bionic Pancreas</w:t>
      </w:r>
      <w:r>
        <w:t xml:space="preserve"> </w:t>
      </w:r>
      <w:r>
        <w:t xml:space="preserve">Research Group or Beta Bionics.</w:t>
      </w:r>
    </w:p>
    <w:p>
      <w:pPr>
        <w:pStyle w:val="BodyText"/>
      </w:pPr>
      <w:r>
        <w:t xml:space="preserve">DCLP3, DCLP5, PEDAP and REPLACE-BG are also public datasets from the Jaeb Center</w:t>
      </w:r>
      <w:r>
        <w:t xml:space="preserve"> </w:t>
      </w:r>
      <w:r>
        <w:t xml:space="preserve">for Health Research, whose releases carry no attribution wording of their own. The</w:t>
      </w:r>
      <w:r>
        <w:t xml:space="preserve"> </w:t>
      </w:r>
      <w:r>
        <w:t xml:space="preserve">analyses, content and conclusions here are solely mine and have not been reviewed</w:t>
      </w:r>
      <w:r>
        <w:t xml:space="preserve"> </w:t>
      </w:r>
      <w:r>
        <w:t xml:space="preserve">or approved by any study sponsor.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ISF, glucose and carbohydrate: a summary</dc:title>
  <dc:creator>Tim Street</dc:creator>
  <cp:keywords/>
  <dcterms:created xsi:type="dcterms:W3CDTF">2026-08-25T18:24:51Z</dcterms:created>
  <dcterms:modified xsi:type="dcterms:W3CDTF">2026-08-25T18:24:51Z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August 2026</vt:lpwstr>
  </property>
  <property fmtid="{D5CDD505-2E9C-101B-9397-08002B2CF9AE}" pid="3" name="subtitle">
    <vt:lpwstr>Three findings from testing both equations against 1,684 people in seven public study archives</vt:lpwstr>
  </property>
</Properties>
</file>