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Reassessing the Walsh insulin dosing constants in type 1 diabetes</w:t>
      </w:r>
    </w:p>
    <w:p>
      <w:pPr>
        <w:pStyle w:val="Subtitle"/>
      </w:pPr>
      <w:r>
        <w:t xml:space="preserve">Age composition in entered settings, and the limits of measurement from device data</w:t>
      </w:r>
    </w:p>
    <w:p>
      <w:pPr>
        <w:pStyle w:val="Author"/>
      </w:pPr>
      <w:r>
        <w:t xml:space="preserve">Tim Street, Diabettech</w:t>
      </w:r>
    </w:p>
    <w:p>
      <w:pPr>
        <w:pStyle w:val="Date"/>
      </w:pPr>
      <w:r>
        <w:t xml:space="preserve">26 August 2026</w:t>
      </w:r>
    </w:p>
    <w:p>
      <w:pPr>
        <w:pStyle w:val="AbstractTitle"/>
      </w:pPr>
      <w:r>
        <w:t xml:space="preserve">Abstract</w:t>
      </w:r>
    </w:p>
    <w:p>
      <w:pPr>
        <w:pStyle w:val="Abstract"/>
      </w:pPr>
      <w:r>
        <w:t xml:space="preserve">Insulin pump therapy is initialised from three rules that divide a constant by</w:t>
      </w:r>
      <w:r>
        <w:t xml:space="preserve"> </w:t>
      </w:r>
      <w:r>
        <w:t xml:space="preserve">total daily dose: 1700 for the sensitivity factor, 500 for the carbohydrate</w:t>
      </w:r>
      <w:r>
        <w:t xml:space="preserve"> </w:t>
      </w:r>
      <w:r>
        <w:t xml:space="preserve">ratio, and half the daily dose for basal. The rules predate continuous glucose</w:t>
      </w:r>
      <w:r>
        <w:t xml:space="preserve"> </w:t>
      </w:r>
      <w:r>
        <w:t xml:space="preserve">monitoring and have been validated mostly in small cohorts of mixed age. This</w:t>
      </w:r>
      <w:r>
        <w:t xml:space="preserve"> </w:t>
      </w:r>
      <w:r>
        <w:t xml:space="preserve">analysis recomputed them in 719 people with entered pump settings and 1,678</w:t>
      </w:r>
      <w:r>
        <w:t xml:space="preserve"> </w:t>
      </w:r>
      <w:r>
        <w:t xml:space="preserve">people with device data, drawn from six Jaeb Center trials and the OpenAPS Data</w:t>
      </w:r>
      <w:r>
        <w:t xml:space="preserve"> </w:t>
      </w:r>
      <w:r>
        <w:t xml:space="preserve">Commons, spanning ages 2 to 82 and daily doses of 7 to 107 U. Pooled across all</w:t>
      </w:r>
      <w:r>
        <w:t xml:space="preserve"> </w:t>
      </w:r>
      <w:r>
        <w:t xml:space="preserve">ages the sensitivity constant was 2108 (95% CI 2048 to 2183), which excludes</w:t>
      </w:r>
      <w:r>
        <w:t xml:space="preserve"> </w:t>
      </w:r>
      <w:r>
        <w:t xml:space="preserve">1700. Restricted to adults it was 1915 (1828 to 1986) and in people under 18 it</w:t>
      </w:r>
      <w:r>
        <w:t xml:space="preserve"> </w:t>
      </w:r>
      <w:r>
        <w:t xml:space="preserve">was 2390 (2281 to 2526). The pooled log-log slope of sensitivity on daily dose</w:t>
      </w:r>
      <w:r>
        <w:t xml:space="preserve"> </w:t>
      </w:r>
      <w:r>
        <w:t xml:space="preserve">was -0.98 (-1.03 to -0.93), apparently confirming the inverse rule, but the same</w:t>
      </w:r>
      <w:r>
        <w:t xml:space="preserve"> </w:t>
      </w:r>
      <w:r>
        <w:t xml:space="preserve">people restricted to adults gave -0.73 (-0.82 to -0.65). Because 51% of the</w:t>
      </w:r>
      <w:r>
        <w:t xml:space="preserve"> </w:t>
      </w:r>
      <w:r>
        <w:t xml:space="preserve">pooled sample was under 18, the apparent confirmation was an artefact of age</w:t>
      </w:r>
      <w:r>
        <w:t xml:space="preserve"> </w:t>
      </w:r>
      <w:r>
        <w:t xml:space="preserve">composition. The carbohydrate ratio constant measured from 23,596 announced</w:t>
      </w:r>
      <w:r>
        <w:t xml:space="preserve"> </w:t>
      </w:r>
      <w:r>
        <w:t xml:space="preserve">meals that ended within 20 mg/dL of their starting glucose was 415 (405 to 425),</w:t>
      </w:r>
      <w:r>
        <w:t xml:space="preserve"> </w:t>
      </w:r>
      <w:r>
        <w:t xml:space="preserve">and entered divided by measured was 1.02, indicating no detectable bias. Basal</w:t>
      </w:r>
      <w:r>
        <w:t xml:space="preserve"> </w:t>
      </w:r>
      <w:r>
        <w:t xml:space="preserve">share was 0.51 overall and depended on the automation in use rather than on the</w:t>
      </w:r>
      <w:r>
        <w:t xml:space="preserve"> </w:t>
      </w:r>
      <w:r>
        <w:t xml:space="preserve">person, at 0.51 with no algorithm, 0.50 under one commercial system, 0.40 under</w:t>
      </w:r>
      <w:r>
        <w:t xml:space="preserve"> </w:t>
      </w:r>
      <w:r>
        <w:t xml:space="preserve">a bionic pancreas and 0.63 under a do-it-yourself loop. The sensitivity constant</w:t>
      </w:r>
      <w:r>
        <w:t xml:space="preserve"> </w:t>
      </w:r>
      <w:r>
        <w:t xml:space="preserve">could not be measured in the same way. In the single open-loop cohort a</w:t>
      </w:r>
      <w:r>
        <w:t xml:space="preserve"> </w:t>
      </w:r>
      <w:r>
        <w:t xml:space="preserve">correction of 1 to 3.5 U produced 15 to 20 mg/dL of glucose fall per acting unit</w:t>
      </w:r>
      <w:r>
        <w:t xml:space="preserve"> </w:t>
      </w:r>
      <w:r>
        <w:t xml:space="preserve">against 45 entered, and in every closed-loop cohort the estimate was near zero</w:t>
      </w:r>
      <w:r>
        <w:t xml:space="preserve"> </w:t>
      </w:r>
      <w:r>
        <w:t xml:space="preserve">or negative because comparison nights had already been corrected through basal.</w:t>
      </w:r>
      <w:r>
        <w:t xml:space="preserve"> </w:t>
      </w:r>
      <w:r>
        <w:t xml:space="preserve">Entered and measured sensitivity are different quantities, since a pump setting</w:t>
      </w:r>
      <w:r>
        <w:t xml:space="preserve"> </w:t>
      </w:r>
      <w:r>
        <w:t xml:space="preserve">encodes the whole expected fall including spontaneous reversion of 21 to 30</w:t>
      </w:r>
      <w:r>
        <w:t xml:space="preserve"> </w:t>
      </w:r>
      <w:r>
        <w:t xml:space="preserve">mg/dL over four hours. Measured directly from isolated overnight corrections in</w:t>
      </w:r>
      <w:r>
        <w:t xml:space="preserve"> </w:t>
      </w:r>
      <w:r>
        <w:t xml:space="preserve">the open-loop cohort, with a six-hour window, the fall was 31.6 mg/dL per unit</w:t>
      </w:r>
      <w:r>
        <w:t xml:space="preserve"> </w:t>
      </w:r>
      <w:r>
        <w:t xml:space="preserve">given and the constant 1558 (1319 to 1737) in 78 people over 422 nights, an</w:t>
      </w:r>
      <w:r>
        <w:t xml:space="preserve"> </w:t>
      </w:r>
      <w:r>
        <w:t xml:space="preserve">interval that covers Walsh’s 1700 and lies below the 1915 people enter.</w:t>
      </w:r>
    </w:p>
    <w:bookmarkStart w:id="9" w:name="introduction"/>
    <w:p>
      <w:pPr>
        <w:pStyle w:val="Heading1"/>
      </w:pPr>
      <w:r>
        <w:t xml:space="preserve">Introduction</w:t>
      </w:r>
    </w:p>
    <w:p>
      <w:pPr>
        <w:pStyle w:val="FirstParagraph"/>
      </w:pPr>
      <w:r>
        <w:t xml:space="preserve">Initial insulin pump settings are conventionally derived from total daily dose</w:t>
      </w:r>
      <w:r>
        <w:t xml:space="preserve"> </w:t>
      </w:r>
      <w:r>
        <w:t xml:space="preserve">using constants that long predate continuous glucose monitoring. The sensitivity</w:t>
      </w:r>
      <w:r>
        <w:t xml:space="preserve"> </w:t>
      </w:r>
      <w:r>
        <w:t xml:space="preserve">factor, the fall in glucose expected from one unit of rapid-acting insulin, is</w:t>
      </w:r>
      <w:r>
        <w:t xml:space="preserve"> </w:t>
      </w:r>
      <w:r>
        <w:t xml:space="preserve">taken as 1700 divided by the daily dose in the formulation attributed to Walsh,</w:t>
      </w:r>
      <w:r>
        <w:t xml:space="preserve"> </w:t>
      </w:r>
      <w:r>
        <w:t xml:space="preserve">or 1800 in the variant attributed to Davidson [1,2]. The carbohydrate ratio is</w:t>
      </w:r>
      <w:r>
        <w:t xml:space="preserve"> </w:t>
      </w:r>
      <w:r>
        <w:t xml:space="preserve">taken as 500 divided by the daily dose, and basal insulin is taken as half of it.</w:t>
      </w:r>
    </w:p>
    <w:p>
      <w:pPr>
        <w:pStyle w:val="BodyText"/>
      </w:pPr>
      <w:r>
        <w:t xml:space="preserve">These rules remain in wide use. They are the starting point in pump initiation</w:t>
      </w:r>
      <w:r>
        <w:t xml:space="preserve"> </w:t>
      </w:r>
      <w:r>
        <w:t xml:space="preserve">protocols, they are embedded in the onboarding of automated insulin delivery</w:t>
      </w:r>
      <w:r>
        <w:t xml:space="preserve"> </w:t>
      </w:r>
      <w:r>
        <w:t xml:space="preserve">systems, and the sensitivity factor in particular has acquired a second role: in</w:t>
      </w:r>
      <w:r>
        <w:t xml:space="preserve"> </w:t>
      </w:r>
      <w:r>
        <w:t xml:space="preserve">several automated systems it is not only a starting value but a live parameter</w:t>
      </w:r>
      <w:r>
        <w:t xml:space="preserve"> </w:t>
      </w:r>
      <w:r>
        <w:t xml:space="preserve">that the algorithm scales when it adjusts dosing.</w:t>
      </w:r>
    </w:p>
    <w:p>
      <w:pPr>
        <w:pStyle w:val="BodyText"/>
      </w:pPr>
      <w:r>
        <w:t xml:space="preserve">Two features of the evidence behind them are worth stating. The cohorts used for</w:t>
      </w:r>
      <w:r>
        <w:t xml:space="preserve"> </w:t>
      </w:r>
      <w:r>
        <w:t xml:space="preserve">validation have generally been small and of mixed age, and the quantity validated</w:t>
      </w:r>
      <w:r>
        <w:t xml:space="preserve"> </w:t>
      </w:r>
      <w:r>
        <w:t xml:space="preserve">has generally been the setting people had entered rather than the response</w:t>
      </w:r>
      <w:r>
        <w:t xml:space="preserve"> </w:t>
      </w:r>
      <w:r>
        <w:t xml:space="preserve">measured from their glucose. Both matter. If sensitivity factors differ</w:t>
      </w:r>
      <w:r>
        <w:t xml:space="preserve"> </w:t>
      </w:r>
      <w:r>
        <w:t xml:space="preserve">systematically between children and adults, then a constant estimated by pooling</w:t>
      </w:r>
      <w:r>
        <w:t xml:space="preserve"> </w:t>
      </w:r>
      <w:r>
        <w:t xml:space="preserve">them describes neither group, and the apparent fit of an inverse-proportional</w:t>
      </w:r>
      <w:r>
        <w:t xml:space="preserve"> </w:t>
      </w:r>
      <w:r>
        <w:t xml:space="preserve">form can be produced by between-group differences in level rather than by any</w:t>
      </w:r>
      <w:r>
        <w:t xml:space="preserve"> </w:t>
      </w:r>
      <w:r>
        <w:t xml:space="preserve">within-person relationship. Separately, an entered setting records what somebody</w:t>
      </w:r>
      <w:r>
        <w:t xml:space="preserve"> </w:t>
      </w:r>
      <w:r>
        <w:t xml:space="preserve">was advised or has settled on, which need not be what a unit of insulin does.</w:t>
      </w:r>
    </w:p>
    <w:p>
      <w:pPr>
        <w:pStyle w:val="BodyText"/>
      </w:pPr>
      <w:r>
        <w:t xml:space="preserve">Public release of several large trial datasets, together with the OpenAPS Data</w:t>
      </w:r>
      <w:r>
        <w:t xml:space="preserve"> </w:t>
      </w:r>
      <w:r>
        <w:t xml:space="preserve">Commons, makes it possible to address both points in the same analysis. This</w:t>
      </w:r>
      <w:r>
        <w:t xml:space="preserve"> </w:t>
      </w:r>
      <w:r>
        <w:t xml:space="preserve">paper recomputes the three constants in 719 people with entered settings and 1,678</w:t>
      </w:r>
      <w:r>
        <w:t xml:space="preserve"> </w:t>
      </w:r>
      <w:r>
        <w:t xml:space="preserve">people with device data, tests whether the inverse-proportional form survives</w:t>
      </w:r>
      <w:r>
        <w:t xml:space="preserve"> </w:t>
      </w:r>
      <w:r>
        <w:t xml:space="preserve">stratification by age, and asks how far each constant can be measured from</w:t>
      </w:r>
      <w:r>
        <w:t xml:space="preserve"> </w:t>
      </w:r>
      <w:r>
        <w:t xml:space="preserve">behaviour rather than read from a settings file.</w:t>
      </w:r>
    </w:p>
    <w:p>
      <w:pPr>
        <w:pStyle w:val="BodyText"/>
      </w:pPr>
      <w:r>
        <w:t xml:space="preserve">An earlier analysis by the author, conducted in May 2026 on 138 open-source loop</w:t>
      </w:r>
      <w:r>
        <w:t xml:space="preserve"> </w:t>
      </w:r>
      <w:r>
        <w:t xml:space="preserve">users, found all three rules inconsistent with the data and reported a log-log</w:t>
      </w:r>
      <w:r>
        <w:t xml:space="preserve"> </w:t>
      </w:r>
      <w:r>
        <w:t xml:space="preserve">slope of -0.43 where the rule implies -1. That cohort is included here unchanged,</w:t>
      </w:r>
      <w:r>
        <w:t xml:space="preserve"> </w:t>
      </w:r>
      <w:r>
        <w:t xml:space="preserve">and one purpose of the present work is to establish whether its conclusions were</w:t>
      </w:r>
      <w:r>
        <w:t xml:space="preserve"> </w:t>
      </w:r>
      <w:r>
        <w:t xml:space="preserve">a property of that population.</w:t>
      </w:r>
    </w:p>
    <w:bookmarkEnd w:id="9"/>
    <w:bookmarkStart w:id="18" w:name="methods"/>
    <w:p>
      <w:pPr>
        <w:pStyle w:val="Heading1"/>
      </w:pPr>
      <w:r>
        <w:t xml:space="preserve">Methods</w:t>
      </w:r>
    </w:p>
    <w:bookmarkStart w:id="10" w:name="data-sources"/>
    <w:p>
      <w:pPr>
        <w:pStyle w:val="Heading2"/>
      </w:pPr>
      <w:r>
        <w:t xml:space="preserve">Data sources</w:t>
      </w:r>
    </w:p>
    <w:p>
      <w:pPr>
        <w:pStyle w:val="FirstParagraph"/>
      </w:pPr>
      <w:r>
        <w:t xml:space="preserve">Device data came from six trials released by the Jaeb Center for Health Research</w:t>
      </w:r>
      <w:r>
        <w:t xml:space="preserve"> </w:t>
      </w:r>
      <w:r>
        <w:t xml:space="preserve">through its public diabetes dataset portal, and from three extractions of the</w:t>
      </w:r>
      <w:r>
        <w:t xml:space="preserve"> </w:t>
      </w:r>
      <w:r>
        <w:t xml:space="preserve">OpenAPS Data Commons.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System</w:t>
            </w:r>
          </w:p>
        </w:tc>
        <w:tc>
          <w:tcPr/>
          <w:p>
            <w:pPr>
              <w:pStyle w:val="Compact"/>
            </w:pPr>
            <w:r>
              <w:t xml:space="preserve">People</w:t>
            </w:r>
          </w:p>
        </w:tc>
        <w:tc>
          <w:tcPr/>
          <w:p>
            <w:pPr>
              <w:pStyle w:val="Compact"/>
            </w:pPr>
            <w:r>
              <w:t xml:space="preserve">CGM readings</w:t>
            </w:r>
          </w:p>
        </w:tc>
        <w:tc>
          <w:tcPr/>
          <w:p>
            <w:pPr>
              <w:pStyle w:val="Compact"/>
            </w:pPr>
            <w:r>
              <w:t xml:space="preserve">Median days</w:t>
            </w:r>
          </w:p>
        </w:tc>
      </w:tr>
      <w:tr>
        <w:tc>
          <w:tcPr/>
          <w:p>
            <w:pPr>
              <w:pStyle w:val="Compact"/>
            </w:pPr>
            <w:r>
              <w:t xml:space="preserve">Loop</w:t>
            </w:r>
          </w:p>
        </w:tc>
        <w:tc>
          <w:tcPr/>
          <w:p>
            <w:pPr>
              <w:pStyle w:val="Compact"/>
            </w:pPr>
            <w:r>
              <w:t xml:space="preserve">DIY closed loop</w:t>
            </w:r>
          </w:p>
        </w:tc>
        <w:tc>
          <w:tcPr/>
          <w:p>
            <w:pPr>
              <w:pStyle w:val="Compact"/>
            </w:pPr>
            <w:r>
              <w:t xml:space="preserve">851</w:t>
            </w:r>
          </w:p>
        </w:tc>
        <w:tc>
          <w:tcPr/>
          <w:p>
            <w:pPr>
              <w:pStyle w:val="Compact"/>
            </w:pPr>
            <w:r>
              <w:t xml:space="preserve">89,203,827</w:t>
            </w:r>
          </w:p>
        </w:tc>
        <w:tc>
          <w:tcPr/>
          <w:p>
            <w:pPr>
              <w:pStyle w:val="Compact"/>
            </w:pPr>
            <w:r>
              <w:t xml:space="preserve">416</w:t>
            </w:r>
          </w:p>
        </w:tc>
      </w:tr>
      <w:tr>
        <w:tc>
          <w:tcPr/>
          <w:p>
            <w:pPr>
              <w:pStyle w:val="Compact"/>
            </w:pPr>
            <w:r>
              <w:t xml:space="preserve">REPLACE-BG</w:t>
            </w:r>
          </w:p>
        </w:tc>
        <w:tc>
          <w:tcPr/>
          <w:p>
            <w:pPr>
              <w:pStyle w:val="Compact"/>
            </w:pPr>
            <w:r>
              <w:t xml:space="preserve">Pump and CGM, no algorithm</w:t>
            </w:r>
          </w:p>
        </w:tc>
        <w:tc>
          <w:tcPr/>
          <w:p>
            <w:pPr>
              <w:pStyle w:val="Compact"/>
            </w:pPr>
            <w:r>
              <w:t xml:space="preserve">196</w:t>
            </w:r>
          </w:p>
        </w:tc>
        <w:tc>
          <w:tcPr/>
          <w:p>
            <w:pPr>
              <w:pStyle w:val="Compact"/>
            </w:pPr>
            <w:r>
              <w:t xml:space="preserve">12,034,638</w:t>
            </w:r>
          </w:p>
        </w:tc>
        <w:tc>
          <w:tcPr/>
          <w:p>
            <w:pPr>
              <w:pStyle w:val="Compact"/>
            </w:pPr>
            <w:r>
              <w:t xml:space="preserve">238</w:t>
            </w:r>
          </w:p>
        </w:tc>
      </w:tr>
      <w:tr>
        <w:tc>
          <w:tcPr/>
          <w:p>
            <w:pPr>
              <w:pStyle w:val="Compact"/>
            </w:pPr>
            <w:r>
              <w:t xml:space="preserve">IOBP2</w:t>
            </w:r>
          </w:p>
        </w:tc>
        <w:tc>
          <w:tcPr/>
          <w:p>
            <w:pPr>
              <w:pStyle w:val="Compact"/>
            </w:pPr>
            <w:r>
              <w:t xml:space="preserve">Bionic pancreas</w:t>
            </w:r>
          </w:p>
        </w:tc>
        <w:tc>
          <w:tcPr/>
          <w:p>
            <w:pPr>
              <w:pStyle w:val="Compact"/>
            </w:pPr>
            <w:r>
              <w:t xml:space="preserve">343</w:t>
            </w:r>
          </w:p>
        </w:tc>
        <w:tc>
          <w:tcPr/>
          <w:p>
            <w:pPr>
              <w:pStyle w:val="Compact"/>
            </w:pPr>
            <w:r>
              <w:t xml:space="preserve">7,891,499</w:t>
            </w:r>
          </w:p>
        </w:tc>
        <w:tc>
          <w:tcPr/>
          <w:p>
            <w:pPr>
              <w:pStyle w:val="Compact"/>
            </w:pPr>
            <w:r>
              <w:t xml:space="preserve">102</w:t>
            </w:r>
          </w:p>
        </w:tc>
      </w:tr>
      <w:tr>
        <w:tc>
          <w:tcPr/>
          <w:p>
            <w:pPr>
              <w:pStyle w:val="Compact"/>
            </w:pPr>
            <w:r>
              <w:t xml:space="preserve">PEDAP</w:t>
            </w:r>
          </w:p>
        </w:tc>
        <w:tc>
          <w:tcPr/>
          <w:p>
            <w:pPr>
              <w:pStyle w:val="Compact"/>
            </w:pPr>
            <w:r>
              <w:t xml:space="preserve">Control-IQ, ages 2–5</w:t>
            </w:r>
          </w:p>
        </w:tc>
        <w:tc>
          <w:tcPr/>
          <w:p>
            <w:pPr>
              <w:pStyle w:val="Compact"/>
            </w:pPr>
            <w:r>
              <w:t xml:space="preserve">99</w:t>
            </w:r>
          </w:p>
        </w:tc>
        <w:tc>
          <w:tcPr/>
          <w:p>
            <w:pPr>
              <w:pStyle w:val="Compact"/>
            </w:pPr>
            <w:r>
              <w:t xml:space="preserve">6,622,228</w:t>
            </w:r>
          </w:p>
        </w:tc>
        <w:tc>
          <w:tcPr/>
          <w:p>
            <w:pPr>
              <w:pStyle w:val="Compact"/>
            </w:pPr>
            <w:r>
              <w:t xml:space="preserve">298</w:t>
            </w:r>
          </w:p>
        </w:tc>
      </w:tr>
      <w:tr>
        <w:tc>
          <w:tcPr/>
          <w:p>
            <w:pPr>
              <w:pStyle w:val="Compact"/>
            </w:pPr>
            <w:r>
              <w:t xml:space="preserve">DCLP3</w:t>
            </w:r>
          </w:p>
        </w:tc>
        <w:tc>
          <w:tcPr/>
          <w:p>
            <w:pPr>
              <w:pStyle w:val="Compact"/>
            </w:pPr>
            <w:r>
              <w:t xml:space="preserve">Control-IQ, adolescent and adult</w:t>
            </w:r>
          </w:p>
        </w:tc>
        <w:tc>
          <w:tcPr/>
          <w:p>
            <w:pPr>
              <w:pStyle w:val="Compact"/>
            </w:pPr>
            <w:r>
              <w:t xml:space="preserve">112</w:t>
            </w:r>
          </w:p>
        </w:tc>
        <w:tc>
          <w:tcPr/>
          <w:p>
            <w:pPr>
              <w:pStyle w:val="Compact"/>
            </w:pPr>
            <w:r>
              <w:t xml:space="preserve">5,673,867</w:t>
            </w:r>
          </w:p>
        </w:tc>
        <w:tc>
          <w:tcPr/>
          <w:p>
            <w:pPr>
              <w:pStyle w:val="Compact"/>
            </w:pPr>
            <w:r>
              <w:t xml:space="preserve">183</w:t>
            </w:r>
          </w:p>
        </w:tc>
      </w:tr>
      <w:tr>
        <w:tc>
          <w:tcPr/>
          <w:p>
            <w:pPr>
              <w:pStyle w:val="Compact"/>
            </w:pPr>
            <w:r>
              <w:t xml:space="preserve">DCLP5</w:t>
            </w:r>
          </w:p>
        </w:tc>
        <w:tc>
          <w:tcPr/>
          <w:p>
            <w:pPr>
              <w:pStyle w:val="Compact"/>
            </w:pPr>
            <w:r>
              <w:t xml:space="preserve">Control-IQ, ages 6–13</w:t>
            </w:r>
          </w:p>
        </w:tc>
        <w:tc>
          <w:tcPr/>
          <w:p>
            <w:pPr>
              <w:pStyle w:val="Compact"/>
            </w:pPr>
            <w:r>
              <w:t xml:space="preserve">100</w:t>
            </w:r>
          </w:p>
        </w:tc>
        <w:tc>
          <w:tcPr/>
          <w:p>
            <w:pPr>
              <w:pStyle w:val="Compact"/>
            </w:pPr>
            <w:r>
              <w:t xml:space="preserve">5,535,124</w:t>
            </w:r>
          </w:p>
        </w:tc>
        <w:tc>
          <w:tcPr/>
          <w:p>
            <w:pPr>
              <w:pStyle w:val="Compact"/>
            </w:pPr>
            <w:r>
              <w:t xml:space="preserve">218</w:t>
            </w:r>
          </w:p>
        </w:tc>
      </w:tr>
      <w:tr>
        <w:tc>
          <w:tcPr/>
          <w:p>
            <w:pPr>
              <w:pStyle w:val="Compact"/>
            </w:pPr>
            <w:r>
              <w:t xml:space="preserve">v5 Trio</w:t>
            </w:r>
          </w:p>
        </w:tc>
        <w:tc>
          <w:tcPr/>
          <w:p>
            <w:pPr>
              <w:pStyle w:val="Compact"/>
            </w:pPr>
            <w:r>
              <w:t xml:space="preserve">DIY closed loop</w:t>
            </w:r>
          </w:p>
        </w:tc>
        <w:tc>
          <w:tcPr/>
          <w:p>
            <w:pPr>
              <w:pStyle w:val="Compact"/>
            </w:pPr>
            <w:r>
              <w:t xml:space="preserve">22</w:t>
            </w:r>
          </w:p>
        </w:tc>
        <w:tc>
          <w:tcPr/>
          <w:p>
            <w:pPr>
              <w:pStyle w:val="Compact"/>
            </w:pPr>
            <w:r>
              <w:t xml:space="preserve">not applicable</w:t>
            </w:r>
          </w:p>
        </w:tc>
        <w:tc>
          <w:tcPr/>
          <w:p>
            <w:pPr>
              <w:pStyle w:val="Compact"/>
            </w:pPr>
            <w:r>
              <w:t xml:space="preserve">not applicable</w:t>
            </w:r>
          </w:p>
        </w:tc>
      </w:tr>
      <w:tr>
        <w:tc>
          <w:tcPr/>
          <w:p>
            <w:pPr>
              <w:pStyle w:val="Compact"/>
            </w:pPr>
            <w:r>
              <w:t xml:space="preserve">v6 AAPS</w:t>
            </w:r>
          </w:p>
        </w:tc>
        <w:tc>
          <w:tcPr/>
          <w:p>
            <w:pPr>
              <w:pStyle w:val="Compact"/>
            </w:pPr>
            <w:r>
              <w:t xml:space="preserve">DIY closed loop</w:t>
            </w:r>
          </w:p>
        </w:tc>
        <w:tc>
          <w:tcPr/>
          <w:p>
            <w:pPr>
              <w:pStyle w:val="Compact"/>
            </w:pPr>
            <w:r>
              <w:t xml:space="preserve">19</w:t>
            </w:r>
          </w:p>
        </w:tc>
        <w:tc>
          <w:tcPr/>
          <w:p>
            <w:pPr>
              <w:pStyle w:val="Compact"/>
            </w:pPr>
            <w:r>
              <w:t xml:space="preserve">not applicable</w:t>
            </w:r>
          </w:p>
        </w:tc>
        <w:tc>
          <w:tcPr/>
          <w:p>
            <w:pPr>
              <w:pStyle w:val="Compact"/>
            </w:pPr>
            <w:r>
              <w:t xml:space="preserve">not applicable</w:t>
            </w:r>
          </w:p>
        </w:tc>
      </w:tr>
      <w:tr>
        <w:tc>
          <w:tcPr/>
          <w:p>
            <w:pPr>
              <w:pStyle w:val="Compact"/>
            </w:pPr>
            <w:r>
              <w:t xml:space="preserve">v7 oref0</w:t>
            </w:r>
          </w:p>
        </w:tc>
        <w:tc>
          <w:tcPr/>
          <w:p>
            <w:pPr>
              <w:pStyle w:val="Compact"/>
            </w:pPr>
            <w:r>
              <w:t xml:space="preserve">DIY closed loop</w:t>
            </w:r>
          </w:p>
        </w:tc>
        <w:tc>
          <w:tcPr/>
          <w:p>
            <w:pPr>
              <w:pStyle w:val="Compact"/>
            </w:pPr>
            <w:r>
              <w:t xml:space="preserve">97</w:t>
            </w:r>
          </w:p>
        </w:tc>
        <w:tc>
          <w:tcPr/>
          <w:p>
            <w:pPr>
              <w:pStyle w:val="Compact"/>
            </w:pPr>
            <w:r>
              <w:t xml:space="preserve">not applicable</w:t>
            </w:r>
          </w:p>
        </w:tc>
        <w:tc>
          <w:tcPr/>
          <w:p>
            <w:pPr>
              <w:pStyle w:val="Compact"/>
            </w:pPr>
            <w:r>
              <w:t xml:space="preserve">not applicable</w:t>
            </w:r>
          </w:p>
        </w:tc>
      </w:tr>
    </w:tbl>
    <w:p>
      <w:pPr>
        <w:pStyle w:val="BodyText"/>
      </w:pPr>
      <w:r>
        <w:t xml:space="preserve">The corpus holds 132,467,585 CGM readings, 68,995,020 basal records, 5,154,053</w:t>
      </w:r>
      <w:r>
        <w:t xml:space="preserve"> </w:t>
      </w:r>
      <w:r>
        <w:t xml:space="preserve">bolus records and 1,617,910 carbohydrate entries. The three OpenAPS Data Commons</w:t>
      </w:r>
      <w:r>
        <w:t xml:space="preserve"> </w:t>
      </w:r>
      <w:r>
        <w:t xml:space="preserve">extractions carry settings and summary statistics rather than the raw streams, so</w:t>
      </w:r>
      <w:r>
        <w:t xml:space="preserve"> </w:t>
      </w:r>
      <w:r>
        <w:t xml:space="preserve">they contribute to the entered-settings analysis alone.</w:t>
      </w:r>
    </w:p>
    <w:p>
      <w:pPr>
        <w:pStyle w:val="BodyText"/>
      </w:pPr>
      <w:r>
        <w:t xml:space="preserve">REPLACE-BG occupies a distinct position in this corpus and carries much of the</w:t>
      </w:r>
      <w:r>
        <w:t xml:space="preserve"> </w:t>
      </w:r>
      <w:r>
        <w:t xml:space="preserve">argument below. It ran in 2015, before automated delivery was available to its</w:t>
      </w:r>
      <w:r>
        <w:t xml:space="preserve"> </w:t>
      </w:r>
      <w:r>
        <w:t xml:space="preserve">participants, so insulin was delivered by a pump following a schedule the person</w:t>
      </w:r>
      <w:r>
        <w:t xml:space="preserve"> </w:t>
      </w:r>
      <w:r>
        <w:t xml:space="preserve">had programmed, with corrections given by hand. It is the only cohort here in</w:t>
      </w:r>
      <w:r>
        <w:t xml:space="preserve"> </w:t>
      </w:r>
      <w:r>
        <w:t xml:space="preserve">which a night without a correction is a night on which nothing responded to</w:t>
      </w:r>
      <w:r>
        <w:t xml:space="preserve"> </w:t>
      </w:r>
      <w:r>
        <w:t xml:space="preserve">glucose.</w:t>
      </w:r>
    </w:p>
    <w:p>
      <w:pPr>
        <w:pStyle w:val="BodyText"/>
      </w:pPr>
      <w:r>
        <w:t xml:space="preserve">Dates are de-identified in every Jaeb release, by a per-participant random shift</w:t>
      </w:r>
      <w:r>
        <w:t xml:space="preserve"> </w:t>
      </w:r>
      <w:r>
        <w:t xml:space="preserve">in some studies and by rebasing to a common epoch in others. Time of day survives</w:t>
      </w:r>
      <w:r>
        <w:t xml:space="preserve"> </w:t>
      </w:r>
      <w:r>
        <w:t xml:space="preserve">both transformations, which is what this analysis requires. Loop timestamps carry</w:t>
      </w:r>
      <w:r>
        <w:t xml:space="preserve"> </w:t>
      </w:r>
      <w:r>
        <w:t xml:space="preserve">a fixed per-participant offset from UTC, so daylight saving places time of day one</w:t>
      </w:r>
      <w:r>
        <w:t xml:space="preserve"> </w:t>
      </w:r>
      <w:r>
        <w:t xml:space="preserve">hour out for part of each year; the effect on window start hours between 23:00 and</w:t>
      </w:r>
      <w:r>
        <w:t xml:space="preserve"> </w:t>
      </w:r>
      <w:r>
        <w:t xml:space="preserve">03:00 is tolerable and is noted as a limitation.</w:t>
      </w:r>
    </w:p>
    <w:bookmarkEnd w:id="10"/>
    <w:bookmarkStart w:id="11" w:name="entered-settings"/>
    <w:p>
      <w:pPr>
        <w:pStyle w:val="Heading2"/>
      </w:pPr>
      <w:r>
        <w:t xml:space="preserve">Entered settings</w:t>
      </w:r>
    </w:p>
    <w:p>
      <w:pPr>
        <w:pStyle w:val="FirstParagraph"/>
      </w:pPr>
      <w:r>
        <w:t xml:space="preserve">Sensitivity factors and carbohydrate ratios were taken as the per-person median</w:t>
      </w:r>
      <w:r>
        <w:t xml:space="preserve"> </w:t>
      </w:r>
      <w:r>
        <w:t xml:space="preserve">of the values recorded at the time of dosing. For Loop and REPLACE-BG these came</w:t>
      </w:r>
      <w:r>
        <w:t xml:space="preserve"> </w:t>
      </w:r>
      <w:r>
        <w:t xml:space="preserve">from the bolus calculator record, and for DCLP5 and PEDAP from the pump settings</w:t>
      </w:r>
      <w:r>
        <w:t xml:space="preserve"> </w:t>
      </w:r>
      <w:r>
        <w:t xml:space="preserve">captured on case report forms, which store up to ten daily segments each with a</w:t>
      </w:r>
      <w:r>
        <w:t xml:space="preserve"> </w:t>
      </w:r>
      <w:r>
        <w:t xml:space="preserve">start and end time; segment values were combined by time weighting. DCLP3 and</w:t>
      </w:r>
      <w:r>
        <w:t xml:space="preserve"> </w:t>
      </w:r>
      <w:r>
        <w:t xml:space="preserve">IOBP2 ship no settings file, and the bionic pancreas has no sensitivity factor to</w:t>
      </w:r>
      <w:r>
        <w:t xml:space="preserve"> </w:t>
      </w:r>
      <w:r>
        <w:t xml:space="preserve">record by design, so both are absent from the entered analysis.</w:t>
      </w:r>
    </w:p>
    <w:p>
      <w:pPr>
        <w:pStyle w:val="BodyText"/>
      </w:pPr>
      <w:r>
        <w:t xml:space="preserve">Sensitivity factors in the Loop and REPLACE-BG calculator records are stored in</w:t>
      </w:r>
      <w:r>
        <w:t xml:space="preserve"> </w:t>
      </w:r>
      <w:r>
        <w:t xml:space="preserve">mmol/L per unit for almost all participants. A per-person rule converted values</w:t>
      </w:r>
      <w:r>
        <w:t xml:space="preserve"> </w:t>
      </w:r>
      <w:r>
        <w:t xml:space="preserve">whose median fell below 20 by a factor of 18.018, which reclassified 112,776 of</w:t>
      </w:r>
      <w:r>
        <w:t xml:space="preserve"> </w:t>
      </w:r>
      <w:r>
        <w:t xml:space="preserve">112,780 Loop rows. Conversion was verified by checking that the resulting</w:t>
      </w:r>
      <w:r>
        <w:t xml:space="preserve"> </w:t>
      </w:r>
      <w:r>
        <w:t xml:space="preserve">distribution fell within 10 to 400 mg/dL per unit.</w:t>
      </w:r>
    </w:p>
    <w:p>
      <w:pPr>
        <w:pStyle w:val="BodyText"/>
      </w:pPr>
      <w:r>
        <w:t xml:space="preserve">The settings loader was validated against an independent stream: of 80,039 Loop</w:t>
      </w:r>
      <w:r>
        <w:t xml:space="preserve"> </w:t>
      </w:r>
      <w:r>
        <w:t xml:space="preserve">calculator rows carrying a carbohydrate entry, 100.00% matched a record in the</w:t>
      </w:r>
      <w:r>
        <w:t xml:space="preserve"> </w:t>
      </w:r>
      <w:r>
        <w:t xml:space="preserve">separately loaded carbohydrate table at the same timestamp and amount.</w:t>
      </w:r>
    </w:p>
    <w:bookmarkEnd w:id="11"/>
    <w:bookmarkStart w:id="12" w:name="daily-dose"/>
    <w:p>
      <w:pPr>
        <w:pStyle w:val="Heading2"/>
      </w:pPr>
      <w:r>
        <w:t xml:space="preserve">Daily dose</w:t>
      </w:r>
    </w:p>
    <w:p>
      <w:pPr>
        <w:pStyle w:val="FirstParagraph"/>
      </w:pPr>
      <w:r>
        <w:t xml:space="preserve">Total daily dose was measured from each person’s own pump record rather than</w:t>
      </w:r>
      <w:r>
        <w:t xml:space="preserve"> </w:t>
      </w:r>
      <w:r>
        <w:t xml:space="preserve">taken from a case report form, summing delivered basal and bolus insulin over</w:t>
      </w:r>
      <w:r>
        <w:t xml:space="preserve"> </w:t>
      </w:r>
      <w:r>
        <w:t xml:space="preserve">calendar days on which the pump recorded continuously, and requiring at least 30</w:t>
      </w:r>
      <w:r>
        <w:t xml:space="preserve"> </w:t>
      </w:r>
      <w:r>
        <w:t xml:space="preserve">such days. Measured daily dose correlated with the clinician-recorded value at</w:t>
      </w:r>
      <w:r>
        <w:t xml:space="preserve"> </w:t>
      </w:r>
      <w:r>
        <w:t xml:space="preserve">Spearman 0.92 in DCLP5 and 0.89 in PEDAP.</w:t>
      </w:r>
    </w:p>
    <w:p>
      <w:pPr>
        <w:pStyle w:val="BodyText"/>
      </w:pPr>
      <w:r>
        <w:t xml:space="preserve">One field required correction. A column labelled as a seven-day basal total</w:t>
      </w:r>
      <w:r>
        <w:t xml:space="preserve"> </w:t>
      </w:r>
      <w:r>
        <w:t xml:space="preserve">proved on inspection to be a daily total, which was established by regressing it</w:t>
      </w:r>
      <w:r>
        <w:t xml:space="preserve"> </w:t>
      </w:r>
      <w:r>
        <w:t xml:space="preserve">on the measured daily basal delivery.</w:t>
      </w:r>
    </w:p>
    <w:bookmarkEnd w:id="12"/>
    <w:bookmarkStart w:id="13" w:name="overnight-windows"/>
    <w:p>
      <w:pPr>
        <w:pStyle w:val="Heading2"/>
      </w:pPr>
      <w:r>
        <w:t xml:space="preserve">Overnight windows</w:t>
      </w:r>
    </w:p>
    <w:p>
      <w:pPr>
        <w:pStyle w:val="FirstParagraph"/>
      </w:pPr>
      <w:r>
        <w:t xml:space="preserve">The sensitivity analyses used four-hour windows starting at 23:00, 00:00, 01:00,</w:t>
      </w:r>
      <w:r>
        <w:t xml:space="preserve"> </w:t>
      </w:r>
      <w:r>
        <w:t xml:space="preserve">02:00 and 03:00 local time. A window was retained when starting glucose lay</w:t>
      </w:r>
      <w:r>
        <w:t xml:space="preserve"> </w:t>
      </w:r>
      <w:r>
        <w:t xml:space="preserve">between 90 and 300 mg/dL, no carbohydrate had been recorded for six hours before</w:t>
      </w:r>
      <w:r>
        <w:t xml:space="preserve"> </w:t>
      </w:r>
      <w:r>
        <w:t xml:space="preserve">it, no bolus for three hours before it, glucose had not risen by more than 15</w:t>
      </w:r>
      <w:r>
        <w:t xml:space="preserve"> </w:t>
      </w:r>
      <w:r>
        <w:t xml:space="preserve">mg/dL in the preceding 30 minutes, and CGM coverage was complete. Screening</w:t>
      </w:r>
      <w:r>
        <w:t xml:space="preserve"> </w:t>
      </w:r>
      <w:r>
        <w:t xml:space="preserve">conditions were evaluated only on information available before the window opened,</w:t>
      </w:r>
      <w:r>
        <w:t xml:space="preserve"> </w:t>
      </w:r>
      <w:r>
        <w:t xml:space="preserve">so that no window was selected on the basis of its own outcome. In cohorts with no</w:t>
      </w:r>
      <w:r>
        <w:t xml:space="preserve"> </w:t>
      </w:r>
      <w:r>
        <w:t xml:space="preserve">carbohydrate stream, fasting was inferred from the absence of any bolus large</w:t>
      </w:r>
      <w:r>
        <w:t xml:space="preserve"> </w:t>
      </w:r>
      <w:r>
        <w:t xml:space="preserve">enough to be a meal dose, defined as 5% of that person’s daily dose, which keeps</w:t>
      </w:r>
      <w:r>
        <w:t xml:space="preserve"> </w:t>
      </w:r>
      <w:r>
        <w:t xml:space="preserve">the criterion free of scale.</w:t>
      </w:r>
    </w:p>
    <w:p>
      <w:pPr>
        <w:pStyle w:val="BodyText"/>
      </w:pPr>
      <w:r>
        <w:t xml:space="preserve">Of 2,179,131 candidate windows, 708,106 passed screening, from 1,678 people.</w:t>
      </w:r>
    </w:p>
    <w:bookmarkEnd w:id="13"/>
    <w:bookmarkStart w:id="14" w:name="insulin-action"/>
    <w:p>
      <w:pPr>
        <w:pStyle w:val="Heading2"/>
      </w:pPr>
      <w:r>
        <w:t xml:space="preserve">Insulin action</w:t>
      </w:r>
    </w:p>
    <w:p>
      <w:pPr>
        <w:pStyle w:val="FirstParagraph"/>
      </w:pPr>
      <w:r>
        <w:t xml:space="preserve">Insulin action was computed by convolving delivery with the remaining-action</w:t>
      </w:r>
      <w:r>
        <w:t xml:space="preserve"> </w:t>
      </w:r>
      <w:r>
        <w:t xml:space="preserve">curve of the appropriate model. For the Loop cohort the model is LoopKit’s</w:t>
      </w:r>
      <w:r>
        <w:t xml:space="preserve"> </w:t>
      </w:r>
      <w:r>
        <w:t xml:space="preserve">exponential form, with the peak and duration of the preset each participant was</w:t>
      </w:r>
      <w:r>
        <w:t xml:space="preserve"> </w:t>
      </w:r>
      <w:r>
        <w:t xml:space="preserve">using, recovered by comparing recomputed insulin on board against the value the</w:t>
      </w:r>
      <w:r>
        <w:t xml:space="preserve"> </w:t>
      </w:r>
      <w:r>
        <w:t xml:space="preserve">app recorded at each bolus; agreement reached r = 0.927. Elsewhere the oref</w:t>
      </w:r>
      <w:r>
        <w:t xml:space="preserve"> </w:t>
      </w:r>
      <w:r>
        <w:t xml:space="preserve">exponential form with a six-hour duration and 75-minute peak was used.</w:t>
      </w:r>
    </w:p>
    <w:p>
      <w:pPr>
        <w:pStyle w:val="BodyText"/>
      </w:pPr>
      <w:r>
        <w:t xml:space="preserve">Action within a window was separated into two components by convolution. The</w:t>
      </w:r>
      <w:r>
        <w:t xml:space="preserve"> </w:t>
      </w:r>
      <w:r>
        <w:t xml:space="preserve">first is action arising from insulin delivered before the window opened, which is</w:t>
      </w:r>
      <w:r>
        <w:t xml:space="preserve"> </w:t>
      </w:r>
      <w:r>
        <w:t xml:space="preserve">predetermined with respect to anything that happens inside it. The second is</w:t>
      </w:r>
      <w:r>
        <w:t xml:space="preserve"> </w:t>
      </w:r>
      <w:r>
        <w:t xml:space="preserve">action from insulin delivered during the window, which is not.</w:t>
      </w:r>
    </w:p>
    <w:p>
      <w:pPr>
        <w:pStyle w:val="BodyText"/>
      </w:pPr>
      <w:r>
        <w:t xml:space="preserve">Two unit errors in the underlying data required correction before any of this was</w:t>
      </w:r>
      <w:r>
        <w:t xml:space="preserve"> </w:t>
      </w:r>
      <w:r>
        <w:t xml:space="preserve">reliable. Bolus durations were recorded in milliseconds rather than seconds for</w:t>
      </w:r>
      <w:r>
        <w:t xml:space="preserve"> </w:t>
      </w:r>
      <w:r>
        <w:t xml:space="preserve">three studies, which placed insulin in 41,591 of one participant’s 46,176 time</w:t>
      </w:r>
      <w:r>
        <w:t xml:space="preserve"> </w:t>
      </w:r>
      <w:r>
        <w:t xml:space="preserve">bins; durations above 86,400 were rescaled and those implying more than eight</w:t>
      </w:r>
      <w:r>
        <w:t xml:space="preserve"> </w:t>
      </w:r>
      <w:r>
        <w:t xml:space="preserve">hours were treated as instantaneous. Separately, timestamps returned at microsecond</w:t>
      </w:r>
      <w:r>
        <w:t xml:space="preserve"> </w:t>
      </w:r>
      <w:r>
        <w:t xml:space="preserve">resolution were being cast as though they were nanoseconds, dividing every basal</w:t>
      </w:r>
      <w:r>
        <w:t xml:space="preserve"> </w:t>
      </w:r>
      <w:r>
        <w:t xml:space="preserve">total by 1000 while leaving boluses correct. Both were caught by a mass</w:t>
      </w:r>
      <w:r>
        <w:t xml:space="preserve"> </w:t>
      </w:r>
      <w:r>
        <w:t xml:space="preserve">conservation check comparing grid totals against database sums, which now agrees</w:t>
      </w:r>
      <w:r>
        <w:t xml:space="preserve"> </w:t>
      </w:r>
      <w:r>
        <w:t xml:space="preserve">to 0.0000%.</w:t>
      </w:r>
    </w:p>
    <w:bookmarkEnd w:id="14"/>
    <w:bookmarkStart w:id="15" w:name="exposure-and-matching"/>
    <w:p>
      <w:pPr>
        <w:pStyle w:val="Heading2"/>
      </w:pPr>
      <w:r>
        <w:t xml:space="preserve">Exposure and matching</w:t>
      </w:r>
    </w:p>
    <w:p>
      <w:pPr>
        <w:pStyle w:val="FirstParagraph"/>
      </w:pPr>
      <w:r>
        <w:t xml:space="preserve">The exposure for the sensitivity analysis is insulin delivered above or below the</w:t>
      </w:r>
      <w:r>
        <w:t xml:space="preserve"> </w:t>
      </w:r>
      <w:r>
        <w:t xml:space="preserve">person’s own scheduled basal profile, by whichever route it arrived. An algorithm</w:t>
      </w:r>
      <w:r>
        <w:t xml:space="preserve"> </w:t>
      </w:r>
      <w:r>
        <w:t xml:space="preserve">running temporary basal above the schedule has given a correction, and one</w:t>
      </w:r>
      <w:r>
        <w:t xml:space="preserve"> </w:t>
      </w:r>
      <w:r>
        <w:t xml:space="preserve">suspending delivery has given a negative correction. Defining the exposure as</w:t>
      </w:r>
      <w:r>
        <w:t xml:space="preserve"> </w:t>
      </w:r>
      <w:r>
        <w:t xml:space="preserve">boluses alone would discard most of the dosing variation in every automated</w:t>
      </w:r>
      <w:r>
        <w:t xml:space="preserve"> </w:t>
      </w:r>
      <w:r>
        <w:t xml:space="preserve">cohort. Where a study records a programmed schedule this was used directly; where</w:t>
      </w:r>
      <w:r>
        <w:t xml:space="preserve"> </w:t>
      </w:r>
      <w:r>
        <w:t xml:space="preserve">it does not, the reference is that person’s own rolling median delivery for each</w:t>
      </w:r>
      <w:r>
        <w:t xml:space="preserve"> </w:t>
      </w:r>
      <w:r>
        <w:t xml:space="preserve">half hour of the day over the preceding 30 days.</w:t>
      </w:r>
    </w:p>
    <w:p>
      <w:pPr>
        <w:pStyle w:val="BodyText"/>
      </w:pPr>
      <w:r>
        <w:t xml:space="preserve">Two estimators were applied. The first is a matched comparison: for each isolated</w:t>
      </w:r>
      <w:r>
        <w:t xml:space="preserve"> </w:t>
      </w:r>
      <w:r>
        <w:t xml:space="preserve">overnight correction, comparison windows were drawn from the same person at the</w:t>
      </w:r>
      <w:r>
        <w:t xml:space="preserve"> </w:t>
      </w:r>
      <w:r>
        <w:t xml:space="preserve">same hour with starting glucose within 15 mg/dL and no bolus, and sensitivity was</w:t>
      </w:r>
      <w:r>
        <w:t xml:space="preserve"> </w:t>
      </w:r>
      <w:r>
        <w:t xml:space="preserve">taken as the difference in four-hour fall divided by the difference in acting</w:t>
      </w:r>
      <w:r>
        <w:t xml:space="preserve"> </w:t>
      </w:r>
      <w:r>
        <w:t xml:space="preserve">insulin. Estimates were pooled as a ratio of sums across events rather than as a</w:t>
      </w:r>
      <w:r>
        <w:t xml:space="preserve"> </w:t>
      </w:r>
      <w:r>
        <w:t xml:space="preserve">median of per-event ratios, because dividing each event by its own small and noisy</w:t>
      </w:r>
      <w:r>
        <w:t xml:space="preserve"> </w:t>
      </w:r>
      <w:r>
        <w:t xml:space="preserve">denominator both inflates the tail and biases the centre toward zero.</w:t>
      </w:r>
    </w:p>
    <w:p>
      <w:pPr>
        <w:pStyle w:val="BodyText"/>
      </w:pPr>
      <w:r>
        <w:t xml:space="preserve">The second is a stratified regression. Windows were grouped by person, hour,</w:t>
      </w:r>
      <w:r>
        <w:t xml:space="preserve"> </w:t>
      </w:r>
      <w:r>
        <w:t xml:space="preserve">starting glucose to 15 mg/dL, slope into the window to 1 mg/dL per 5 min, and</w:t>
      </w:r>
      <w:r>
        <w:t xml:space="preserve"> </w:t>
      </w:r>
      <w:r>
        <w:t xml:space="preserve">glucose one hour earlier to 25 mg/dL. Within each stratum the fall and the</w:t>
      </w:r>
      <w:r>
        <w:t xml:space="preserve"> </w:t>
      </w:r>
      <w:r>
        <w:t xml:space="preserve">exposure were centred, and the pooled within-stratum slope was taken as the</w:t>
      </w:r>
      <w:r>
        <w:t xml:space="preserve"> </w:t>
      </w:r>
      <w:r>
        <w:t xml:space="preserve">estimate. Strata with fewer than four windows or an exposure range below 0.4 U</w:t>
      </w:r>
      <w:r>
        <w:t xml:space="preserve"> </w:t>
      </w:r>
      <w:r>
        <w:t xml:space="preserve">were dropped.</w:t>
      </w:r>
    </w:p>
    <w:bookmarkEnd w:id="15"/>
    <w:bookmarkStart w:id="16" w:name="measured-carbohydrate-ratio"/>
    <w:p>
      <w:pPr>
        <w:pStyle w:val="Heading2"/>
      </w:pPr>
      <w:r>
        <w:t xml:space="preserve">Measured carbohydrate ratio</w:t>
      </w:r>
    </w:p>
    <w:p>
      <w:pPr>
        <w:pStyle w:val="FirstParagraph"/>
      </w:pPr>
      <w:r>
        <w:t xml:space="preserve">For a meal that was announced and dosed for, and that left glucose where it</w:t>
      </w:r>
      <w:r>
        <w:t xml:space="preserve"> </w:t>
      </w:r>
      <w:r>
        <w:t xml:space="preserve">started, the ratio that person required is the grams divided by the units, with no</w:t>
      </w:r>
      <w:r>
        <w:t xml:space="preserve"> </w:t>
      </w:r>
      <w:r>
        <w:t xml:space="preserve">insulin model or basal assumption involved. Meals of at least 20 g with a dose within 20</w:t>
      </w:r>
      <w:r>
        <w:t xml:space="preserve"> </w:t>
      </w:r>
      <w:r>
        <w:t xml:space="preserve">minutes were selected, requiring no other carbohydrate for four hours before or</w:t>
      </w:r>
      <w:r>
        <w:t xml:space="preserve"> </w:t>
      </w:r>
      <w:r>
        <w:t xml:space="preserve">five hours after and no further insulin during. Of 78,705 such meals from 1,011</w:t>
      </w:r>
      <w:r>
        <w:t xml:space="preserve"> </w:t>
      </w:r>
      <w:r>
        <w:t xml:space="preserve">people, 23,596 ended within 20 mg/dL of their starting glucose. Meals that did not</w:t>
      </w:r>
      <w:r>
        <w:t xml:space="preserve"> </w:t>
      </w:r>
      <w:r>
        <w:t xml:space="preserve">end neutral were excluded rather than corrected, and people with fewer than eight</w:t>
      </w:r>
      <w:r>
        <w:t xml:space="preserve"> </w:t>
      </w:r>
      <w:r>
        <w:t xml:space="preserve">qualifying meals were dropped, leaving 742.</w:t>
      </w:r>
    </w:p>
    <w:bookmarkEnd w:id="16"/>
    <w:bookmarkStart w:id="17" w:name="statistics"/>
    <w:p>
      <w:pPr>
        <w:pStyle w:val="Heading2"/>
      </w:pPr>
      <w:r>
        <w:t xml:space="preserve">Statistics</w:t>
      </w:r>
    </w:p>
    <w:p>
      <w:pPr>
        <w:pStyle w:val="FirstParagraph"/>
      </w:pPr>
      <w:r>
        <w:t xml:space="preserve">Intervals are percentile bootstrap over people, with 4,000 resamples for</w:t>
      </w:r>
      <w:r>
        <w:t xml:space="preserve"> </w:t>
      </w:r>
      <w:r>
        <w:t xml:space="preserve">constants and 1,500 for slopes, resampling people rather than observations</w:t>
      </w:r>
      <w:r>
        <w:t xml:space="preserve"> </w:t>
      </w:r>
      <w:r>
        <w:t xml:space="preserve">because windows from one person are not independent. Slopes are least squares on</w:t>
      </w:r>
      <w:r>
        <w:t xml:space="preserve"> </w:t>
      </w:r>
      <w:r>
        <w:t xml:space="preserve">logarithms. Where per-person estimates were pooled, DerSimonian and Laird random</w:t>
      </w:r>
      <w:r>
        <w:t xml:space="preserve"> </w:t>
      </w:r>
      <w:r>
        <w:t xml:space="preserve">effects pooling was used and heterogeneity is reported. Analysis ran locally in</w:t>
      </w:r>
      <w:r>
        <w:t xml:space="preserve"> </w:t>
      </w:r>
      <w:r>
        <w:t xml:space="preserve">Python against a PostgreSQL 17.9 instance with TimescaleDB 2.26.1.</w:t>
      </w:r>
    </w:p>
    <w:bookmarkEnd w:id="17"/>
    <w:bookmarkEnd w:id="18"/>
    <w:bookmarkStart w:id="28" w:name="results"/>
    <w:p>
      <w:pPr>
        <w:pStyle w:val="Heading1"/>
      </w:pPr>
      <w:r>
        <w:t xml:space="preserve">Results</w:t>
      </w:r>
    </w:p>
    <w:bookmarkStart w:id="19" w:name="entered-constants"/>
    <w:p>
      <w:pPr>
        <w:pStyle w:val="Heading2"/>
      </w:pPr>
      <w:r>
        <w:t xml:space="preserve">Entered constants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Constant</w:t>
            </w:r>
          </w:p>
        </w:tc>
        <w:tc>
          <w:tcPr/>
          <w:p>
            <w:pPr>
              <w:pStyle w:val="Compact"/>
            </w:pPr>
            <w:r>
              <w:t xml:space="preserve">Walsh</w:t>
            </w:r>
          </w:p>
        </w:tc>
        <w:tc>
          <w:tcPr/>
          <w:p>
            <w:pPr>
              <w:pStyle w:val="Compact"/>
            </w:pPr>
            <w:r>
              <w:t xml:space="preserve">All 719</w:t>
            </w:r>
          </w:p>
        </w:tc>
        <w:tc>
          <w:tcPr/>
          <w:p>
            <w:pPr>
              <w:pStyle w:val="Compact"/>
            </w:pPr>
            <w:r>
              <w:t xml:space="preserve">95% CI</w:t>
            </w:r>
          </w:p>
        </w:tc>
        <w:tc>
          <w:tcPr/>
          <w:p>
            <w:pPr>
              <w:pStyle w:val="Compact"/>
            </w:pPr>
            <w:r>
              <w:t xml:space="preserve">Adults (422)</w:t>
            </w:r>
          </w:p>
        </w:tc>
        <w:tc>
          <w:tcPr/>
          <w:p>
            <w:pPr>
              <w:pStyle w:val="Compact"/>
            </w:pPr>
            <w:r>
              <w:t xml:space="preserve">Under 18 (297)</w:t>
            </w:r>
          </w:p>
        </w:tc>
      </w:tr>
      <w:tr>
        <w:tc>
          <w:tcPr/>
          <w:p>
            <w:pPr>
              <w:pStyle w:val="Compact"/>
            </w:pPr>
            <w:r>
              <w:t xml:space="preserve">Sensitivity x daily dose</w:t>
            </w:r>
          </w:p>
        </w:tc>
        <w:tc>
          <w:tcPr/>
          <w:p>
            <w:pPr>
              <w:pStyle w:val="Compact"/>
            </w:pPr>
            <w:r>
              <w:t xml:space="preserve">1700</w:t>
            </w:r>
          </w:p>
        </w:tc>
        <w:tc>
          <w:tcPr/>
          <w:p>
            <w:pPr>
              <w:pStyle w:val="Compact"/>
            </w:pPr>
            <w:r>
              <w:t xml:space="preserve">2108</w:t>
            </w:r>
          </w:p>
        </w:tc>
        <w:tc>
          <w:tcPr/>
          <w:p>
            <w:pPr>
              <w:pStyle w:val="Compact"/>
            </w:pPr>
            <w:r>
              <w:t xml:space="preserve">2048–2183</w:t>
            </w:r>
          </w:p>
        </w:tc>
        <w:tc>
          <w:tcPr/>
          <w:p>
            <w:pPr>
              <w:pStyle w:val="Compact"/>
            </w:pPr>
            <w:r>
              <w:t xml:space="preserve">1915</w:t>
            </w:r>
          </w:p>
        </w:tc>
        <w:tc>
          <w:tcPr/>
          <w:p>
            <w:pPr>
              <w:pStyle w:val="Compact"/>
            </w:pPr>
            <w:r>
              <w:t xml:space="preserve">2390</w:t>
            </w:r>
          </w:p>
        </w:tc>
      </w:tr>
      <w:tr>
        <w:tc>
          <w:tcPr/>
          <w:p>
            <w:pPr>
              <w:pStyle w:val="Compact"/>
            </w:pPr>
            <w:r>
              <w:t xml:space="preserve">Carb ratio x daily dose</w:t>
            </w:r>
          </w:p>
        </w:tc>
        <w:tc>
          <w:tcPr/>
          <w:p>
            <w:pPr>
              <w:pStyle w:val="Compact"/>
            </w:pPr>
            <w:r>
              <w:t xml:space="preserve">500</w:t>
            </w:r>
          </w:p>
        </w:tc>
        <w:tc>
          <w:tcPr/>
          <w:p>
            <w:pPr>
              <w:pStyle w:val="Compact"/>
            </w:pPr>
            <w:r>
              <w:t xml:space="preserve">409</w:t>
            </w:r>
          </w:p>
        </w:tc>
        <w:tc>
          <w:tcPr/>
          <w:p>
            <w:pPr>
              <w:pStyle w:val="Compact"/>
            </w:pPr>
            <w:r>
              <w:t xml:space="preserve">392–422</w:t>
            </w:r>
          </w:p>
        </w:tc>
        <w:tc>
          <w:tcPr/>
          <w:p>
            <w:pPr>
              <w:pStyle w:val="Compact"/>
            </w:pPr>
            <w:r>
              <w:t xml:space="preserve">404</w:t>
            </w:r>
          </w:p>
        </w:tc>
        <w:tc>
          <w:tcPr/>
          <w:p>
            <w:pPr>
              <w:pStyle w:val="Compact"/>
            </w:pPr>
            <w:r>
              <w:t xml:space="preserve">414</w:t>
            </w:r>
          </w:p>
        </w:tc>
      </w:tr>
      <w:tr>
        <w:tc>
          <w:tcPr/>
          <w:p>
            <w:pPr>
              <w:pStyle w:val="Compact"/>
            </w:pPr>
            <w:r>
              <w:t xml:space="preserve">Basal share of daily dose</w:t>
            </w:r>
          </w:p>
        </w:tc>
        <w:tc>
          <w:tcPr/>
          <w:p>
            <w:pPr>
              <w:pStyle w:val="Compact"/>
            </w:pPr>
            <w:r>
              <w:t xml:space="preserve">0.50</w:t>
            </w:r>
          </w:p>
        </w:tc>
        <w:tc>
          <w:tcPr/>
          <w:p>
            <w:pPr>
              <w:pStyle w:val="Compact"/>
            </w:pPr>
            <w:r>
              <w:t xml:space="preserve">0.49</w:t>
            </w:r>
          </w:p>
        </w:tc>
        <w:tc>
          <w:tcPr/>
          <w:p>
            <w:pPr>
              <w:pStyle w:val="Compact"/>
            </w:pPr>
            <w:r>
              <w:t xml:space="preserve">0.48–0.50</w:t>
            </w:r>
          </w:p>
        </w:tc>
        <w:tc>
          <w:tcPr/>
          <w:p>
            <w:pPr>
              <w:pStyle w:val="Compact"/>
            </w:pPr>
            <w:r>
              <w:t xml:space="preserve">0.52</w:t>
            </w:r>
          </w:p>
        </w:tc>
        <w:tc>
          <w:tcPr/>
          <w:p>
            <w:pPr>
              <w:pStyle w:val="Compact"/>
            </w:pPr>
            <w:r>
              <w:t xml:space="preserve">0.47</w:t>
            </w:r>
          </w:p>
        </w:tc>
      </w:tr>
    </w:tbl>
    <w:p>
      <w:pPr>
        <w:pStyle w:val="BodyText"/>
      </w:pPr>
      <w:r>
        <w:t xml:space="preserve">The pooled sensitivity constant sits 24% above Walsh’s value and its interval</w:t>
      </w:r>
      <w:r>
        <w:t xml:space="preserve"> </w:t>
      </w:r>
      <w:r>
        <w:t xml:space="preserve">excludes it. Restricted to adults it falls to 1915 (1828 to 1986), which also</w:t>
      </w:r>
      <w:r>
        <w:t xml:space="preserve"> </w:t>
      </w:r>
      <w:r>
        <w:t xml:space="preserve">excludes 1700. Within the adult group the two sources disagree substantially, at</w:t>
      </w:r>
      <w:r>
        <w:t xml:space="preserve"> </w:t>
      </w:r>
      <w:r>
        <w:t xml:space="preserve">1799 in the Jaeb trials against 2381 in the OpenAPS Data Commons, whose members</w:t>
      </w:r>
      <w:r>
        <w:t xml:space="preserve"> </w:t>
      </w:r>
      <w:r>
        <w:t xml:space="preserve">set their own values over years rather than receiving them from a clinic. The one</w:t>
      </w:r>
      <w:r>
        <w:t xml:space="preserve"> </w:t>
      </w:r>
      <w:r>
        <w:t xml:space="preserve">subgroup whose interval covers 1700 is Jaeb participants aged 45 and over, at 1766</w:t>
      </w:r>
      <w:r>
        <w:t xml:space="preserve"> </w:t>
      </w:r>
      <w:r>
        <w:t xml:space="preserve">(1680 to 1839).</w:t>
      </w:r>
    </w:p>
    <w:p>
      <w:pPr>
        <w:pStyle w:val="BodyText"/>
      </w:pPr>
      <w:r>
        <w:t xml:space="preserve">The carbohydrate ratio constant misses 500 by approximately a fifth in every</w:t>
      </w:r>
      <w:r>
        <w:t xml:space="preserve"> </w:t>
      </w:r>
      <w:r>
        <w:t xml:space="preserve">cohort and at every age. The basal rule holds, at 0.49 with an interval covering</w:t>
      </w:r>
      <w:r>
        <w:t xml:space="preserve"> </w:t>
      </w:r>
      <w:r>
        <w:t xml:space="preserve">0.50.</w:t>
      </w:r>
    </w:p>
    <w:bookmarkEnd w:id="19"/>
    <w:bookmarkStart w:id="20" w:name="age-composition"/>
    <w:p>
      <w:pPr>
        <w:pStyle w:val="Heading2"/>
      </w:pPr>
      <w:r>
        <w:t xml:space="preserve">Age composition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 band</w:t>
            </w:r>
          </w:p>
        </w:tc>
        <w:tc>
          <w:tcPr/>
          <w:p>
            <w:pPr>
              <w:pStyle w:val="Compact"/>
            </w:pPr>
            <w:r>
              <w:t xml:space="preserve">n</w:t>
            </w:r>
          </w:p>
        </w:tc>
        <w:tc>
          <w:tcPr/>
          <w:p>
            <w:pPr>
              <w:pStyle w:val="Compact"/>
            </w:pPr>
            <w:r>
              <w:t xml:space="preserve">Sensitivity x dose</w:t>
            </w:r>
          </w:p>
        </w:tc>
        <w:tc>
          <w:tcPr/>
          <w:p>
            <w:pPr>
              <w:pStyle w:val="Compact"/>
            </w:pPr>
            <w:r>
              <w:t xml:space="preserve">95% CI</w:t>
            </w:r>
          </w:p>
        </w:tc>
        <w:tc>
          <w:tcPr/>
          <w:p>
            <w:pPr>
              <w:pStyle w:val="Compact"/>
            </w:pPr>
            <w:r>
              <w:t xml:space="preserve">Covers 1700</w:t>
            </w:r>
          </w:p>
        </w:tc>
      </w:tr>
      <w:tr>
        <w:tc>
          <w:tcPr/>
          <w:p>
            <w:pPr>
              <w:pStyle w:val="Compact"/>
            </w:pPr>
            <w:r>
              <w:t xml:space="preserve">2 to 5</w:t>
            </w:r>
          </w:p>
        </w:tc>
        <w:tc>
          <w:tcPr/>
          <w:p>
            <w:pPr>
              <w:pStyle w:val="Compact"/>
            </w:pPr>
            <w:r>
              <w:t xml:space="preserve">115</w:t>
            </w:r>
          </w:p>
        </w:tc>
        <w:tc>
          <w:tcPr/>
          <w:p>
            <w:pPr>
              <w:pStyle w:val="Compact"/>
            </w:pPr>
            <w:r>
              <w:t xml:space="preserve">2163</w:t>
            </w:r>
          </w:p>
        </w:tc>
        <w:tc>
          <w:tcPr/>
          <w:p>
            <w:pPr>
              <w:pStyle w:val="Compact"/>
            </w:pPr>
            <w:r>
              <w:t xml:space="preserve">2045–2389</w:t>
            </w:r>
          </w:p>
        </w:tc>
        <w:tc>
          <w:tcPr/>
          <w:p>
            <w:pPr>
              <w:pStyle w:val="Compact"/>
            </w:pPr>
            <w:r>
              <w:t xml:space="preserve">no</w:t>
            </w:r>
          </w:p>
        </w:tc>
      </w:tr>
      <w:tr>
        <w:tc>
          <w:tcPr/>
          <w:p>
            <w:pPr>
              <w:pStyle w:val="Compact"/>
            </w:pPr>
            <w:r>
              <w:t xml:space="preserve">6 to 12</w:t>
            </w:r>
          </w:p>
        </w:tc>
        <w:tc>
          <w:tcPr/>
          <w:p>
            <w:pPr>
              <w:pStyle w:val="Compact"/>
            </w:pPr>
            <w:r>
              <w:t xml:space="preserve">128</w:t>
            </w:r>
          </w:p>
        </w:tc>
        <w:tc>
          <w:tcPr/>
          <w:p>
            <w:pPr>
              <w:pStyle w:val="Compact"/>
            </w:pPr>
            <w:r>
              <w:t xml:space="preserve">2561</w:t>
            </w:r>
          </w:p>
        </w:tc>
        <w:tc>
          <w:tcPr/>
          <w:p>
            <w:pPr>
              <w:pStyle w:val="Compact"/>
            </w:pPr>
            <w:r>
              <w:t xml:space="preserve">2406–2695</w:t>
            </w:r>
          </w:p>
        </w:tc>
        <w:tc>
          <w:tcPr/>
          <w:p>
            <w:pPr>
              <w:pStyle w:val="Compact"/>
            </w:pPr>
            <w:r>
              <w:t xml:space="preserve">no</w:t>
            </w:r>
          </w:p>
        </w:tc>
      </w:tr>
      <w:tr>
        <w:tc>
          <w:tcPr/>
          <w:p>
            <w:pPr>
              <w:pStyle w:val="Compact"/>
            </w:pPr>
            <w:r>
              <w:t xml:space="preserve">13 to 17</w:t>
            </w:r>
          </w:p>
        </w:tc>
        <w:tc>
          <w:tcPr/>
          <w:p>
            <w:pPr>
              <w:pStyle w:val="Compact"/>
            </w:pPr>
            <w:r>
              <w:t xml:space="preserve">54</w:t>
            </w:r>
          </w:p>
        </w:tc>
        <w:tc>
          <w:tcPr/>
          <w:p>
            <w:pPr>
              <w:pStyle w:val="Compact"/>
            </w:pPr>
            <w:r>
              <w:t xml:space="preserve">2350</w:t>
            </w:r>
          </w:p>
        </w:tc>
        <w:tc>
          <w:tcPr/>
          <w:p>
            <w:pPr>
              <w:pStyle w:val="Compact"/>
            </w:pPr>
            <w:r>
              <w:t xml:space="preserve">2243–2624</w:t>
            </w:r>
          </w:p>
        </w:tc>
        <w:tc>
          <w:tcPr/>
          <w:p>
            <w:pPr>
              <w:pStyle w:val="Compact"/>
            </w:pPr>
            <w:r>
              <w:t xml:space="preserve">no</w:t>
            </w:r>
          </w:p>
        </w:tc>
      </w:tr>
      <w:tr>
        <w:tc>
          <w:tcPr/>
          <w:p>
            <w:pPr>
              <w:pStyle w:val="Compact"/>
            </w:pPr>
            <w:r>
              <w:t xml:space="preserve">18 to 44</w:t>
            </w:r>
          </w:p>
        </w:tc>
        <w:tc>
          <w:tcPr/>
          <w:p>
            <w:pPr>
              <w:pStyle w:val="Compact"/>
            </w:pPr>
            <w:r>
              <w:t xml:space="preserve">162</w:t>
            </w:r>
          </w:p>
        </w:tc>
        <w:tc>
          <w:tcPr/>
          <w:p>
            <w:pPr>
              <w:pStyle w:val="Compact"/>
            </w:pPr>
            <w:r>
              <w:t xml:space="preserve">1830</w:t>
            </w:r>
          </w:p>
        </w:tc>
        <w:tc>
          <w:tcPr/>
          <w:p>
            <w:pPr>
              <w:pStyle w:val="Compact"/>
            </w:pPr>
            <w:r>
              <w:t xml:space="preserve">1738–1944</w:t>
            </w:r>
          </w:p>
        </w:tc>
        <w:tc>
          <w:tcPr/>
          <w:p>
            <w:pPr>
              <w:pStyle w:val="Compact"/>
            </w:pPr>
            <w:r>
              <w:t xml:space="preserve">no</w:t>
            </w:r>
          </w:p>
        </w:tc>
      </w:tr>
      <w:tr>
        <w:tc>
          <w:tcPr/>
          <w:p>
            <w:pPr>
              <w:pStyle w:val="Compact"/>
            </w:pPr>
            <w:r>
              <w:t xml:space="preserve">45 and over</w:t>
            </w:r>
          </w:p>
        </w:tc>
        <w:tc>
          <w:tcPr/>
          <w:p>
            <w:pPr>
              <w:pStyle w:val="Compact"/>
            </w:pPr>
            <w:r>
              <w:t xml:space="preserve">122</w:t>
            </w:r>
          </w:p>
        </w:tc>
        <w:tc>
          <w:tcPr/>
          <w:p>
            <w:pPr>
              <w:pStyle w:val="Compact"/>
            </w:pPr>
            <w:r>
              <w:t xml:space="preserve">1766</w:t>
            </w:r>
          </w:p>
        </w:tc>
        <w:tc>
          <w:tcPr/>
          <w:p>
            <w:pPr>
              <w:pStyle w:val="Compact"/>
            </w:pPr>
            <w:r>
              <w:t xml:space="preserve">1680–1839</w:t>
            </w:r>
          </w:p>
        </w:tc>
        <w:tc>
          <w:tcPr/>
          <w:p>
            <w:pPr>
              <w:pStyle w:val="Compact"/>
            </w:pPr>
            <w:r>
              <w:t xml:space="preserve">yes</w:t>
            </w:r>
          </w:p>
        </w:tc>
      </w:tr>
    </w:tbl>
    <w:p>
      <w:pPr>
        <w:pStyle w:val="BodyText"/>
      </w:pPr>
      <w:r>
        <w:t xml:space="preserve">The constant falls from age six onward and reaches Walsh’s value only in the</w:t>
      </w:r>
      <w:r>
        <w:t xml:space="preserve"> </w:t>
      </w:r>
      <w:r>
        <w:t xml:space="preserve">oldest group. A child of ten carries a sensitivity constant approximately 45%</w:t>
      </w:r>
      <w:r>
        <w:t xml:space="preserve"> </w:t>
      </w:r>
      <w:r>
        <w:t xml:space="preserve">above an adult of 45, which in dosing terms means the rule would correct that</w:t>
      </w:r>
      <w:r>
        <w:t xml:space="preserve"> </w:t>
      </w:r>
      <w:r>
        <w:t xml:space="preserve">child considerably harder than their own settings prescribe.</w:t>
      </w:r>
    </w:p>
    <w:p>
      <w:pPr>
        <w:pStyle w:val="BodyText"/>
      </w:pPr>
      <w:r>
        <w:t xml:space="preserve">The carbohydrate ratio constant moves in the opposite direction and more weakly,</w:t>
      </w:r>
      <w:r>
        <w:t xml:space="preserve"> </w:t>
      </w:r>
      <w:r>
        <w:t xml:space="preserve">from 297 at ages 2 to 5, to 479 at 6 to 12, settling near 400 in adults. Only the</w:t>
      </w:r>
      <w:r>
        <w:t xml:space="preserve"> </w:t>
      </w:r>
      <w:r>
        <w:t xml:space="preserve">school-age bands are consistent with 500.</w:t>
      </w:r>
    </w:p>
    <w:bookmarkEnd w:id="20"/>
    <w:bookmarkStart w:id="21" w:name="the-parametric-form"/>
    <w:p>
      <w:pPr>
        <w:pStyle w:val="Heading2"/>
      </w:pPr>
      <w:r>
        <w:t xml:space="preserve">The parametric form</w:t>
      </w:r>
    </w:p>
    <w:p>
      <w:pPr>
        <w:pStyle w:val="FirstParagraph"/>
      </w:pPr>
      <w:r>
        <w:t xml:space="preserve">Walsh’s rule implies that sensitivity is inversely proportional to daily dose,</w:t>
      </w:r>
      <w:r>
        <w:t xml:space="preserve"> </w:t>
      </w:r>
      <w:r>
        <w:t xml:space="preserve">which is a log-log slope of exactly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n</w:t>
            </w:r>
          </w:p>
        </w:tc>
        <w:tc>
          <w:tcPr/>
          <w:p>
            <w:pPr>
              <w:pStyle w:val="Compact"/>
            </w:pPr>
            <w:r>
              <w:t xml:space="preserve">Slope</w:t>
            </w:r>
          </w:p>
        </w:tc>
        <w:tc>
          <w:tcPr/>
          <w:p>
            <w:pPr>
              <w:pStyle w:val="Compact"/>
            </w:pPr>
            <w:r>
              <w:t xml:space="preserve">95% CI</w:t>
            </w:r>
          </w:p>
        </w:tc>
        <w:tc>
          <w:tcPr/>
          <w:p>
            <w:pPr>
              <w:pStyle w:val="Compact"/>
            </w:pPr>
            <w:r>
              <w:t xml:space="preserve">Excludes -1</w:t>
            </w:r>
          </w:p>
        </w:tc>
      </w:tr>
      <w:tr>
        <w:tc>
          <w:tcPr/>
          <w:p>
            <w:pPr>
              <w:pStyle w:val="Compact"/>
            </w:pPr>
            <w:r>
              <w:t xml:space="preserve">All Jaeb pooled</w:t>
            </w:r>
          </w:p>
        </w:tc>
        <w:tc>
          <w:tcPr/>
          <w:p>
            <w:pPr>
              <w:pStyle w:val="Compact"/>
            </w:pPr>
            <w:r>
              <w:t xml:space="preserve">581</w:t>
            </w:r>
          </w:p>
        </w:tc>
        <w:tc>
          <w:tcPr/>
          <w:p>
            <w:pPr>
              <w:pStyle w:val="Compact"/>
            </w:pPr>
            <w:r>
              <w:t xml:space="preserve">-0.98</w:t>
            </w:r>
          </w:p>
        </w:tc>
        <w:tc>
          <w:tcPr/>
          <w:p>
            <w:pPr>
              <w:pStyle w:val="Compact"/>
            </w:pPr>
            <w:r>
              <w:t xml:space="preserve">-1.03 to -0.93</w:t>
            </w:r>
          </w:p>
        </w:tc>
        <w:tc>
          <w:tcPr/>
          <w:p>
            <w:pPr>
              <w:pStyle w:val="Compact"/>
            </w:pPr>
            <w:r>
              <w:t xml:space="preserve">no</w:t>
            </w:r>
          </w:p>
        </w:tc>
      </w:tr>
      <w:tr>
        <w:tc>
          <w:tcPr/>
          <w:p>
            <w:pPr>
              <w:pStyle w:val="Compact"/>
            </w:pPr>
            <w:r>
              <w:t xml:space="preserve">Jaeb adults only</w:t>
            </w:r>
          </w:p>
        </w:tc>
        <w:tc>
          <w:tcPr/>
          <w:p>
            <w:pPr>
              <w:pStyle w:val="Compact"/>
            </w:pPr>
            <w:r>
              <w:t xml:space="preserve">284</w:t>
            </w:r>
          </w:p>
        </w:tc>
        <w:tc>
          <w:tcPr/>
          <w:p>
            <w:pPr>
              <w:pStyle w:val="Compact"/>
            </w:pPr>
            <w:r>
              <w:t xml:space="preserve">-0.73</w:t>
            </w:r>
          </w:p>
        </w:tc>
        <w:tc>
          <w:tcPr/>
          <w:p>
            <w:pPr>
              <w:pStyle w:val="Compact"/>
            </w:pPr>
            <w:r>
              <w:t xml:space="preserve">-0.82 to -0.65</w:t>
            </w:r>
          </w:p>
        </w:tc>
        <w:tc>
          <w:tcPr/>
          <w:p>
            <w:pPr>
              <w:pStyle w:val="Compact"/>
            </w:pPr>
            <w:r>
              <w:t xml:space="preserve">yes</w:t>
            </w:r>
          </w:p>
        </w:tc>
      </w:tr>
      <w:tr>
        <w:tc>
          <w:tcPr/>
          <w:p>
            <w:pPr>
              <w:pStyle w:val="Compact"/>
            </w:pPr>
            <w:r>
              <w:t xml:space="preserve">Jaeb under 18</w:t>
            </w:r>
          </w:p>
        </w:tc>
        <w:tc>
          <w:tcPr/>
          <w:p>
            <w:pPr>
              <w:pStyle w:val="Compact"/>
            </w:pPr>
            <w:r>
              <w:t xml:space="preserve">297</w:t>
            </w:r>
          </w:p>
        </w:tc>
        <w:tc>
          <w:tcPr/>
          <w:p>
            <w:pPr>
              <w:pStyle w:val="Compact"/>
            </w:pPr>
            <w:r>
              <w:t xml:space="preserve">-0.91</w:t>
            </w:r>
          </w:p>
        </w:tc>
        <w:tc>
          <w:tcPr/>
          <w:p>
            <w:pPr>
              <w:pStyle w:val="Compact"/>
            </w:pPr>
            <w:r>
              <w:t xml:space="preserve">-0.96 to -0.85</w:t>
            </w:r>
          </w:p>
        </w:tc>
        <w:tc>
          <w:tcPr/>
          <w:p>
            <w:pPr>
              <w:pStyle w:val="Compact"/>
            </w:pPr>
            <w:r>
              <w:t xml:space="preserve">yes</w:t>
            </w:r>
          </w:p>
        </w:tc>
      </w:tr>
      <w:tr>
        <w:tc>
          <w:tcPr/>
          <w:p>
            <w:pPr>
              <w:pStyle w:val="Compact"/>
            </w:pPr>
            <w:r>
              <w:t xml:space="preserve">OpenAPS Data Commons</w:t>
            </w:r>
          </w:p>
        </w:tc>
        <w:tc>
          <w:tcPr/>
          <w:p>
            <w:pPr>
              <w:pStyle w:val="Compact"/>
            </w:pPr>
            <w:r>
              <w:t xml:space="preserve">138</w:t>
            </w:r>
          </w:p>
        </w:tc>
        <w:tc>
          <w:tcPr/>
          <w:p>
            <w:pPr>
              <w:pStyle w:val="Compact"/>
            </w:pPr>
            <w:r>
              <w:t xml:space="preserve">-0.43</w:t>
            </w:r>
          </w:p>
        </w:tc>
        <w:tc>
          <w:tcPr/>
          <w:p>
            <w:pPr>
              <w:pStyle w:val="Compact"/>
            </w:pPr>
            <w:r>
              <w:t xml:space="preserve">-0.59 to -0.27</w:t>
            </w:r>
          </w:p>
        </w:tc>
        <w:tc>
          <w:tcPr/>
          <w:p>
            <w:pPr>
              <w:pStyle w:val="Compact"/>
            </w:pPr>
            <w:r>
              <w:t xml:space="preserve">yes</w:t>
            </w:r>
          </w:p>
        </w:tc>
      </w:tr>
      <w:tr>
        <w:tc>
          <w:tcPr/>
          <w:p>
            <w:pPr>
              <w:pStyle w:val="Compact"/>
            </w:pPr>
            <w:r>
              <w:t xml:space="preserve">Everything</w:t>
            </w:r>
          </w:p>
        </w:tc>
        <w:tc>
          <w:tcPr/>
          <w:p>
            <w:pPr>
              <w:pStyle w:val="Compact"/>
            </w:pPr>
            <w:r>
              <w:t xml:space="preserve">719</w:t>
            </w:r>
          </w:p>
        </w:tc>
        <w:tc>
          <w:tcPr/>
          <w:p>
            <w:pPr>
              <w:pStyle w:val="Compact"/>
            </w:pPr>
            <w:r>
              <w:t xml:space="preserve">-0.87</w:t>
            </w:r>
          </w:p>
        </w:tc>
        <w:tc>
          <w:tcPr/>
          <w:p>
            <w:pPr>
              <w:pStyle w:val="Compact"/>
            </w:pPr>
            <w:r>
              <w:t xml:space="preserve">-0.93 to -0.82</w:t>
            </w:r>
          </w:p>
        </w:tc>
        <w:tc>
          <w:tcPr/>
          <w:p>
            <w:pPr>
              <w:pStyle w:val="Compact"/>
            </w:pPr>
            <w:r>
              <w:t xml:space="preserve">yes</w:t>
            </w:r>
          </w:p>
        </w:tc>
      </w:tr>
    </w:tbl>
    <w:p>
      <w:pPr>
        <w:pStyle w:val="BodyText"/>
      </w:pPr>
      <w:r>
        <w:t xml:space="preserve">The pooled Jaeb slope of -0.98 appears to confirm the inverse rule. Restricting</w:t>
      </w:r>
      <w:r>
        <w:t xml:space="preserve"> </w:t>
      </w:r>
      <w:r>
        <w:t xml:space="preserve">the same people to adults moves it to -0.73, and the interval then excludes -1.</w:t>
      </w:r>
      <w:r>
        <w:t xml:space="preserve"> </w:t>
      </w:r>
      <w:r>
        <w:t xml:space="preserve">What produces the value near -1 is the mixing of young children, who use little</w:t>
      </w:r>
      <w:r>
        <w:t xml:space="preserve"> </w:t>
      </w:r>
      <w:r>
        <w:t xml:space="preserve">insulin and carry high sensitivity factors, with adults who do neither.</w:t>
      </w:r>
      <w:r>
        <w:t xml:space="preserve"> </w:t>
      </w:r>
      <w:r>
        <w:t xml:space="preserve">Between-group differences in level generate a gradient across the pooled sample</w:t>
      </w:r>
      <w:r>
        <w:t xml:space="preserve"> </w:t>
      </w:r>
      <w:r>
        <w:t xml:space="preserve">that need not reflect how sensitivity varies within any individual.</w:t>
      </w:r>
    </w:p>
    <w:p>
      <w:pPr>
        <w:pStyle w:val="BodyText"/>
      </w:pPr>
      <w:r>
        <w:t xml:space="preserve">This is not attributable to the range of daily doses sampled. The v7 and Loop</w:t>
      </w:r>
      <w:r>
        <w:t xml:space="preserve"> </w:t>
      </w:r>
      <w:r>
        <w:t xml:space="preserve">cohorts span an identical spread of 1.43 in logs and return slopes of -0.46 and</w:t>
      </w:r>
      <w:r>
        <w:t xml:space="preserve"> </w:t>
      </w:r>
      <w:r>
        <w:t xml:space="preserve">-0.94 respectively.</w:t>
      </w:r>
    </w:p>
    <w:p>
      <w:pPr>
        <w:pStyle w:val="BodyText"/>
      </w:pPr>
      <w:r>
        <w:t xml:space="preserve">A validation of the 1700 rule performed on a cohort of mixed age will therefore</w:t>
      </w:r>
      <w:r>
        <w:t xml:space="preserve"> </w:t>
      </w:r>
      <w:r>
        <w:t xml:space="preserve">tend to confirm it, and the confirmation will reflect composition. This applies to</w:t>
      </w:r>
      <w:r>
        <w:t xml:space="preserve"> </w:t>
      </w:r>
      <w:r>
        <w:t xml:space="preserve">the author’s May 2026 analysis as much as to any other.</w:t>
      </w:r>
    </w:p>
    <w:bookmarkEnd w:id="21"/>
    <w:bookmarkStart w:id="22" w:name="results-by-cohort"/>
    <w:p>
      <w:pPr>
        <w:pStyle w:val="Heading2"/>
      </w:pPr>
      <w:r>
        <w:t xml:space="preserve">Results by cohort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n</w:t>
            </w:r>
          </w:p>
        </w:tc>
        <w:tc>
          <w:tcPr/>
          <w:p>
            <w:pPr>
              <w:pStyle w:val="Compact"/>
            </w:pPr>
            <w:r>
              <w:t xml:space="preserve">Sensitivity x dose</w:t>
            </w:r>
          </w:p>
        </w:tc>
        <w:tc>
          <w:tcPr/>
          <w:p>
            <w:pPr>
              <w:pStyle w:val="Compact"/>
            </w:pPr>
            <w:r>
              <w:t xml:space="preserve">Carb ratio x dose</w:t>
            </w:r>
          </w:p>
        </w:tc>
        <w:tc>
          <w:tcPr/>
          <w:p>
            <w:pPr>
              <w:pStyle w:val="Compact"/>
            </w:pPr>
            <w:r>
              <w:t xml:space="preserve">Basal share</w:t>
            </w:r>
          </w:p>
        </w:tc>
        <w:tc>
          <w:tcPr/>
          <w:p>
            <w:pPr>
              <w:pStyle w:val="Compact"/>
            </w:pPr>
            <w:r>
              <w:t xml:space="preserve">Slope</w:t>
            </w:r>
          </w:p>
        </w:tc>
      </w:tr>
      <w:tr>
        <w:tc>
          <w:tcPr/>
          <w:p>
            <w:pPr>
              <w:pStyle w:val="Compact"/>
            </w:pPr>
            <w:r>
              <w:t xml:space="preserve">Loop</w:t>
            </w:r>
          </w:p>
        </w:tc>
        <w:tc>
          <w:tcPr/>
          <w:p>
            <w:pPr>
              <w:pStyle w:val="Compact"/>
            </w:pPr>
            <w:r>
              <w:t xml:space="preserve">194</w:t>
            </w:r>
          </w:p>
        </w:tc>
        <w:tc>
          <w:tcPr/>
          <w:p>
            <w:pPr>
              <w:pStyle w:val="Compact"/>
            </w:pPr>
            <w:r>
              <w:t xml:space="preserve">2043 (1913–2249)</w:t>
            </w:r>
          </w:p>
        </w:tc>
        <w:tc>
          <w:tcPr/>
          <w:p>
            <w:pPr>
              <w:pStyle w:val="Compact"/>
            </w:pPr>
            <w:r>
              <w:t xml:space="preserve">375 (357–407)</w:t>
            </w:r>
          </w:p>
        </w:tc>
        <w:tc>
          <w:tcPr/>
          <w:p>
            <w:pPr>
              <w:pStyle w:val="Compact"/>
            </w:pPr>
            <w:r>
              <w:t xml:space="preserve">0.58</w:t>
            </w:r>
          </w:p>
        </w:tc>
        <w:tc>
          <w:tcPr/>
          <w:p>
            <w:pPr>
              <w:pStyle w:val="Compact"/>
            </w:pPr>
            <w:r>
              <w:t xml:space="preserve">-0.94</w:t>
            </w:r>
          </w:p>
        </w:tc>
      </w:tr>
      <w:tr>
        <w:tc>
          <w:tcPr/>
          <w:p>
            <w:pPr>
              <w:pStyle w:val="Compact"/>
            </w:pPr>
            <w:r>
              <w:t xml:space="preserve">REPLACE-BG</w:t>
            </w:r>
          </w:p>
        </w:tc>
        <w:tc>
          <w:tcPr/>
          <w:p>
            <w:pPr>
              <w:pStyle w:val="Compact"/>
            </w:pPr>
            <w:r>
              <w:t xml:space="preserve">192</w:t>
            </w:r>
          </w:p>
        </w:tc>
        <w:tc>
          <w:tcPr/>
          <w:p>
            <w:pPr>
              <w:pStyle w:val="Compact"/>
            </w:pPr>
            <w:r>
              <w:t xml:space="preserve">1853 (1791–1936)</w:t>
            </w:r>
          </w:p>
        </w:tc>
        <w:tc>
          <w:tcPr/>
          <w:p>
            <w:pPr>
              <w:pStyle w:val="Compact"/>
            </w:pPr>
            <w:r>
              <w:t xml:space="preserve">431 (410–460)</w:t>
            </w:r>
          </w:p>
        </w:tc>
        <w:tc>
          <w:tcPr/>
          <w:p>
            <w:pPr>
              <w:pStyle w:val="Compact"/>
            </w:pPr>
            <w:r>
              <w:t xml:space="preserve">0.51</w:t>
            </w:r>
          </w:p>
        </w:tc>
        <w:tc>
          <w:tcPr/>
          <w:p>
            <w:pPr>
              <w:pStyle w:val="Compact"/>
            </w:pPr>
            <w:r>
              <w:t xml:space="preserve">-0.72</w:t>
            </w:r>
          </w:p>
        </w:tc>
      </w:tr>
      <w:tr>
        <w:tc>
          <w:tcPr/>
          <w:p>
            <w:pPr>
              <w:pStyle w:val="Compact"/>
            </w:pPr>
            <w:r>
              <w:t xml:space="preserve">DCLP5</w:t>
            </w:r>
          </w:p>
        </w:tc>
        <w:tc>
          <w:tcPr/>
          <w:p>
            <w:pPr>
              <w:pStyle w:val="Compact"/>
            </w:pPr>
            <w:r>
              <w:t xml:space="preserve">100</w:t>
            </w:r>
          </w:p>
        </w:tc>
        <w:tc>
          <w:tcPr/>
          <w:p>
            <w:pPr>
              <w:pStyle w:val="Compact"/>
            </w:pPr>
            <w:r>
              <w:t xml:space="preserve">2429 (2306–2580)</w:t>
            </w:r>
          </w:p>
        </w:tc>
        <w:tc>
          <w:tcPr/>
          <w:p>
            <w:pPr>
              <w:pStyle w:val="Compact"/>
            </w:pPr>
            <w:r>
              <w:t xml:space="preserve">513 (479–542)</w:t>
            </w:r>
          </w:p>
        </w:tc>
        <w:tc>
          <w:tcPr/>
          <w:p>
            <w:pPr>
              <w:pStyle w:val="Compact"/>
            </w:pPr>
            <w:r>
              <w:t xml:space="preserve">0.46</w:t>
            </w:r>
          </w:p>
        </w:tc>
        <w:tc>
          <w:tcPr/>
          <w:p>
            <w:pPr>
              <w:pStyle w:val="Compact"/>
            </w:pPr>
            <w:r>
              <w:t xml:space="preserve">-1.00</w:t>
            </w:r>
          </w:p>
        </w:tc>
      </w:tr>
      <w:tr>
        <w:tc>
          <w:tcPr/>
          <w:p>
            <w:pPr>
              <w:pStyle w:val="Compact"/>
            </w:pPr>
            <w:r>
              <w:t xml:space="preserve">PEDAP</w:t>
            </w:r>
          </w:p>
        </w:tc>
        <w:tc>
          <w:tcPr/>
          <w:p>
            <w:pPr>
              <w:pStyle w:val="Compact"/>
            </w:pPr>
            <w:r>
              <w:t xml:space="preserve">95</w:t>
            </w:r>
          </w:p>
        </w:tc>
        <w:tc>
          <w:tcPr/>
          <w:p>
            <w:pPr>
              <w:pStyle w:val="Compact"/>
            </w:pPr>
            <w:r>
              <w:t xml:space="preserve">2162 (2045–2317)</w:t>
            </w:r>
          </w:p>
        </w:tc>
        <w:tc>
          <w:tcPr/>
          <w:p>
            <w:pPr>
              <w:pStyle w:val="Compact"/>
            </w:pPr>
            <w:r>
              <w:t xml:space="preserve">291 (266–317)</w:t>
            </w:r>
          </w:p>
        </w:tc>
        <w:tc>
          <w:tcPr/>
          <w:p>
            <w:pPr>
              <w:pStyle w:val="Compact"/>
            </w:pPr>
            <w:r>
              <w:t xml:space="preserve">0.41</w:t>
            </w:r>
          </w:p>
        </w:tc>
        <w:tc>
          <w:tcPr/>
          <w:p>
            <w:pPr>
              <w:pStyle w:val="Compact"/>
            </w:pPr>
            <w:r>
              <w:t xml:space="preserve">-0.89</w:t>
            </w:r>
          </w:p>
        </w:tc>
      </w:tr>
      <w:tr>
        <w:tc>
          <w:tcPr/>
          <w:p>
            <w:pPr>
              <w:pStyle w:val="Compact"/>
            </w:pPr>
            <w:r>
              <w:t xml:space="preserve">v5 Trio</w:t>
            </w:r>
          </w:p>
        </w:tc>
        <w:tc>
          <w:tcPr/>
          <w:p>
            <w:pPr>
              <w:pStyle w:val="Compact"/>
            </w:pPr>
            <w:r>
              <w:t xml:space="preserve">22</w:t>
            </w:r>
          </w:p>
        </w:tc>
        <w:tc>
          <w:tcPr/>
          <w:p>
            <w:pPr>
              <w:pStyle w:val="Compact"/>
            </w:pPr>
            <w:r>
              <w:t xml:space="preserve">2682 (2216–2962)</w:t>
            </w:r>
          </w:p>
        </w:tc>
        <w:tc>
          <w:tcPr/>
          <w:p>
            <w:pPr>
              <w:pStyle w:val="Compact"/>
            </w:pPr>
            <w:r>
              <w:t xml:space="preserve">373 (279–459)</w:t>
            </w:r>
          </w:p>
        </w:tc>
        <w:tc>
          <w:tcPr/>
          <w:p>
            <w:pPr>
              <w:pStyle w:val="Compact"/>
            </w:pPr>
            <w:r>
              <w:t xml:space="preserve">0.45</w:t>
            </w:r>
          </w:p>
        </w:tc>
        <w:tc>
          <w:tcPr/>
          <w:p>
            <w:pPr>
              <w:pStyle w:val="Compact"/>
            </w:pPr>
            <w:r>
              <w:t xml:space="preserve">-0.53</w:t>
            </w:r>
          </w:p>
        </w:tc>
      </w:tr>
      <w:tr>
        <w:tc>
          <w:tcPr/>
          <w:p>
            <w:pPr>
              <w:pStyle w:val="Compact"/>
            </w:pPr>
            <w:r>
              <w:t xml:space="preserve">v6 AAPS</w:t>
            </w:r>
          </w:p>
        </w:tc>
        <w:tc>
          <w:tcPr/>
          <w:p>
            <w:pPr>
              <w:pStyle w:val="Compact"/>
            </w:pPr>
            <w:r>
              <w:t xml:space="preserve">19</w:t>
            </w:r>
          </w:p>
        </w:tc>
        <w:tc>
          <w:tcPr/>
          <w:p>
            <w:pPr>
              <w:pStyle w:val="Compact"/>
            </w:pPr>
            <w:r>
              <w:t xml:space="preserve">2953 (2201–5713)</w:t>
            </w:r>
          </w:p>
        </w:tc>
        <w:tc>
          <w:tcPr/>
          <w:p>
            <w:pPr>
              <w:pStyle w:val="Compact"/>
            </w:pPr>
            <w:r>
              <w:t xml:space="preserve">526 (409–607)</w:t>
            </w:r>
          </w:p>
        </w:tc>
        <w:tc>
          <w:tcPr/>
          <w:p>
            <w:pPr>
              <w:pStyle w:val="Compact"/>
            </w:pPr>
            <w:r>
              <w:t xml:space="preserve">0.39</w:t>
            </w:r>
          </w:p>
        </w:tc>
        <w:tc>
          <w:tcPr/>
          <w:p>
            <w:pPr>
              <w:pStyle w:val="Compact"/>
            </w:pPr>
            <w:r>
              <w:t xml:space="preserve">-0.03</w:t>
            </w:r>
          </w:p>
        </w:tc>
      </w:tr>
      <w:tr>
        <w:tc>
          <w:tcPr/>
          <w:p>
            <w:pPr>
              <w:pStyle w:val="Compact"/>
            </w:pPr>
            <w:r>
              <w:t xml:space="preserve">v7 oref0</w:t>
            </w:r>
          </w:p>
        </w:tc>
        <w:tc>
          <w:tcPr/>
          <w:p>
            <w:pPr>
              <w:pStyle w:val="Compact"/>
            </w:pPr>
            <w:r>
              <w:t xml:space="preserve">97</w:t>
            </w:r>
          </w:p>
        </w:tc>
        <w:tc>
          <w:tcPr/>
          <w:p>
            <w:pPr>
              <w:pStyle w:val="Compact"/>
            </w:pPr>
            <w:r>
              <w:t xml:space="preserve">2164 (2044–2566)</w:t>
            </w:r>
          </w:p>
        </w:tc>
        <w:tc>
          <w:tcPr/>
          <w:p>
            <w:pPr>
              <w:pStyle w:val="Compact"/>
            </w:pPr>
            <w:r>
              <w:t xml:space="preserve">387 (315–436)</w:t>
            </w:r>
          </w:p>
        </w:tc>
        <w:tc>
          <w:tcPr/>
          <w:p>
            <w:pPr>
              <w:pStyle w:val="Compact"/>
            </w:pPr>
            <w:r>
              <w:t xml:space="preserve">0.48</w:t>
            </w:r>
          </w:p>
        </w:tc>
        <w:tc>
          <w:tcPr/>
          <w:p>
            <w:pPr>
              <w:pStyle w:val="Compact"/>
            </w:pPr>
            <w:r>
              <w:t xml:space="preserve">-0.46</w:t>
            </w:r>
          </w:p>
        </w:tc>
      </w:tr>
    </w:tbl>
    <w:p>
      <w:pPr>
        <w:pStyle w:val="BodyText"/>
      </w:pPr>
      <w:r>
        <w:t xml:space="preserve">The paediatric cohorts differ from one another more than they differ from the</w:t>
      </w:r>
      <w:r>
        <w:t xml:space="preserve"> </w:t>
      </w:r>
      <w:r>
        <w:t xml:space="preserve">adult cohorts. PEDAP, covering ages 2 to 5, carries both the lowest carbohydrate</w:t>
      </w:r>
      <w:r>
        <w:t xml:space="preserve"> </w:t>
      </w:r>
      <w:r>
        <w:t xml:space="preserve">ratio constant at 291 and the lowest basal share at 0.41. DCLP5, covering ages 6</w:t>
      </w:r>
      <w:r>
        <w:t xml:space="preserve"> </w:t>
      </w:r>
      <w:r>
        <w:t xml:space="preserve">to 13, carries the highest paediatric sensitivity constant at 2429 and a</w:t>
      </w:r>
      <w:r>
        <w:t xml:space="preserve"> </w:t>
      </w:r>
      <w:r>
        <w:t xml:space="preserve">carbohydrate ratio constant of 513 whose interval covers 500.</w:t>
      </w:r>
    </w:p>
    <w:p>
      <w:pPr>
        <w:pStyle w:val="BodyText"/>
      </w:pPr>
      <w:r>
        <w:t xml:space="preserve">The three OpenAPS Data Commons cohorts return shallow slopes, between -0.03 and</w:t>
      </w:r>
      <w:r>
        <w:t xml:space="preserve"> </w:t>
      </w:r>
      <w:r>
        <w:t xml:space="preserve">-0.53, against -0.72 to -1.00 in the Jaeb cohorts. These are people who have</w:t>
      </w:r>
      <w:r>
        <w:t xml:space="preserve"> </w:t>
      </w:r>
      <w:r>
        <w:t xml:space="preserve">adjusted their own settings over years, against people whose settings were set</w:t>
      </w:r>
      <w:r>
        <w:t xml:space="preserve"> </w:t>
      </w:r>
      <w:r>
        <w:t xml:space="preserve">within a trial protocol. The rule fits best where it is followed.</w:t>
      </w:r>
    </w:p>
    <w:bookmarkEnd w:id="22"/>
    <w:bookmarkStart w:id="23" w:name="measured-carbohydrate-ratio-1"/>
    <w:p>
      <w:pPr>
        <w:pStyle w:val="Heading2"/>
      </w:pPr>
      <w:r>
        <w:t xml:space="preserve">Measured carbohydrate ratio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n</w:t>
            </w:r>
          </w:p>
        </w:tc>
        <w:tc>
          <w:tcPr/>
          <w:p>
            <w:pPr>
              <w:pStyle w:val="Compact"/>
            </w:pPr>
            <w:r>
              <w:t xml:space="preserve">Carb ratio x dose</w:t>
            </w:r>
          </w:p>
        </w:tc>
        <w:tc>
          <w:tcPr/>
          <w:p>
            <w:pPr>
              <w:pStyle w:val="Compact"/>
            </w:pPr>
            <w:r>
              <w:t xml:space="preserve">95% CI</w:t>
            </w:r>
          </w:p>
        </w:tc>
        <w:tc>
          <w:tcPr/>
          <w:p>
            <w:pPr>
              <w:pStyle w:val="Compact"/>
            </w:pPr>
            <w:r>
              <w:t xml:space="preserve">Covers 500</w:t>
            </w:r>
          </w:p>
        </w:tc>
      </w:tr>
      <w:tr>
        <w:tc>
          <w:tcPr/>
          <w:p>
            <w:pPr>
              <w:pStyle w:val="Compact"/>
            </w:pPr>
            <w:r>
              <w:t xml:space="preserve">Loop</w:t>
            </w:r>
          </w:p>
        </w:tc>
        <w:tc>
          <w:tcPr/>
          <w:p>
            <w:pPr>
              <w:pStyle w:val="Compact"/>
            </w:pPr>
            <w:r>
              <w:t xml:space="preserve">594</w:t>
            </w:r>
          </w:p>
        </w:tc>
        <w:tc>
          <w:tcPr/>
          <w:p>
            <w:pPr>
              <w:pStyle w:val="Compact"/>
            </w:pPr>
            <w:r>
              <w:t xml:space="preserve">418</w:t>
            </w:r>
          </w:p>
        </w:tc>
        <w:tc>
          <w:tcPr/>
          <w:p>
            <w:pPr>
              <w:pStyle w:val="Compact"/>
            </w:pPr>
            <w:r>
              <w:t xml:space="preserve">408–429</w:t>
            </w:r>
          </w:p>
        </w:tc>
        <w:tc>
          <w:tcPr/>
          <w:p>
            <w:pPr>
              <w:pStyle w:val="Compact"/>
            </w:pPr>
            <w:r>
              <w:t xml:space="preserve">no</w:t>
            </w:r>
          </w:p>
        </w:tc>
      </w:tr>
      <w:tr>
        <w:tc>
          <w:tcPr/>
          <w:p>
            <w:pPr>
              <w:pStyle w:val="Compact"/>
            </w:pPr>
            <w:r>
              <w:t xml:space="preserve">REPLACE-BG</w:t>
            </w:r>
          </w:p>
        </w:tc>
        <w:tc>
          <w:tcPr/>
          <w:p>
            <w:pPr>
              <w:pStyle w:val="Compact"/>
            </w:pPr>
            <w:r>
              <w:t xml:space="preserve">148</w:t>
            </w:r>
          </w:p>
        </w:tc>
        <w:tc>
          <w:tcPr/>
          <w:p>
            <w:pPr>
              <w:pStyle w:val="Compact"/>
            </w:pPr>
            <w:r>
              <w:t xml:space="preserve">390</w:t>
            </w:r>
          </w:p>
        </w:tc>
        <w:tc>
          <w:tcPr/>
          <w:p>
            <w:pPr>
              <w:pStyle w:val="Compact"/>
            </w:pPr>
            <w:r>
              <w:t xml:space="preserve">362–427</w:t>
            </w:r>
          </w:p>
        </w:tc>
        <w:tc>
          <w:tcPr/>
          <w:p>
            <w:pPr>
              <w:pStyle w:val="Compact"/>
            </w:pPr>
            <w:r>
              <w:t xml:space="preserve">no</w:t>
            </w:r>
          </w:p>
        </w:tc>
      </w:tr>
      <w:tr>
        <w:tc>
          <w:tcPr/>
          <w:p>
            <w:pPr>
              <w:pStyle w:val="Compact"/>
            </w:pPr>
            <w:r>
              <w:t xml:space="preserve">Everyone</w:t>
            </w:r>
          </w:p>
        </w:tc>
        <w:tc>
          <w:tcPr/>
          <w:p>
            <w:pPr>
              <w:pStyle w:val="Compact"/>
            </w:pPr>
            <w:r>
              <w:t xml:space="preserve">742</w:t>
            </w:r>
          </w:p>
        </w:tc>
        <w:tc>
          <w:tcPr/>
          <w:p>
            <w:pPr>
              <w:pStyle w:val="Compact"/>
            </w:pPr>
            <w:r>
              <w:t xml:space="preserve">415</w:t>
            </w:r>
          </w:p>
        </w:tc>
        <w:tc>
          <w:tcPr/>
          <w:p>
            <w:pPr>
              <w:pStyle w:val="Compact"/>
            </w:pPr>
            <w:r>
              <w:t xml:space="preserve">405–425</w:t>
            </w:r>
          </w:p>
        </w:tc>
        <w:tc>
          <w:tcPr/>
          <w:p>
            <w:pPr>
              <w:pStyle w:val="Compact"/>
            </w:pPr>
            <w:r>
              <w:t xml:space="preserve">no</w:t>
            </w:r>
          </w:p>
        </w:tc>
      </w:tr>
    </w:tbl>
    <w:p>
      <w:pPr>
        <w:pStyle w:val="BodyText"/>
      </w:pPr>
      <w:r>
        <w:t xml:space="preserve">Among the 289 people who also had an entered carbohydrate ratio, entered divided</w:t>
      </w:r>
      <w:r>
        <w:t xml:space="preserve"> </w:t>
      </w:r>
      <w:r>
        <w:t xml:space="preserve">by measured was 1.02. The estimator therefore carries no detectable bias, and 415</w:t>
      </w:r>
      <w:r>
        <w:t xml:space="preserve"> </w:t>
      </w:r>
      <w:r>
        <w:t xml:space="preserve">can be read as the constant the rule should use rather than as a description of</w:t>
      </w:r>
      <w:r>
        <w:t xml:space="preserve"> </w:t>
      </w:r>
      <w:r>
        <w:t xml:space="preserve">what people have entered. It agrees closely with the entered figure of 409.</w:t>
      </w:r>
    </w:p>
    <w:bookmarkEnd w:id="23"/>
    <w:bookmarkStart w:id="24" w:name="basal-share"/>
    <w:p>
      <w:pPr>
        <w:pStyle w:val="Heading2"/>
      </w:pPr>
      <w:r>
        <w:t xml:space="preserve">Basal share</w:t>
      </w:r>
    </w:p>
    <w:p>
      <w:pPr>
        <w:pStyle w:val="FirstParagraph"/>
      </w:pPr>
      <w:r>
        <w:t xml:space="preserve">Delivered basal over delivered total requires no model, so it covers the two</w:t>
      </w:r>
      <w:r>
        <w:t xml:space="preserve"> </w:t>
      </w:r>
      <w:r>
        <w:t xml:space="preserve">cohorts with no settings file, adding 438 people omitted from the tables above.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System</w:t>
            </w:r>
          </w:p>
        </w:tc>
        <w:tc>
          <w:tcPr/>
          <w:p>
            <w:pPr>
              <w:pStyle w:val="Compact"/>
            </w:pPr>
            <w:r>
              <w:t xml:space="preserve">n</w:t>
            </w:r>
          </w:p>
        </w:tc>
        <w:tc>
          <w:tcPr/>
          <w:p>
            <w:pPr>
              <w:pStyle w:val="Compact"/>
            </w:pPr>
            <w:r>
              <w:t xml:space="preserve">Basal share</w:t>
            </w:r>
          </w:p>
        </w:tc>
        <w:tc>
          <w:tcPr/>
          <w:p>
            <w:pPr>
              <w:pStyle w:val="Compact"/>
            </w:pPr>
            <w:r>
              <w:t xml:space="preserve">Covers 0.50</w:t>
            </w:r>
          </w:p>
        </w:tc>
      </w:tr>
      <w:tr>
        <w:tc>
          <w:tcPr/>
          <w:p>
            <w:pPr>
              <w:pStyle w:val="Compact"/>
            </w:pPr>
            <w:r>
              <w:t xml:space="preserve">Loop</w:t>
            </w:r>
          </w:p>
        </w:tc>
        <w:tc>
          <w:tcPr/>
          <w:p>
            <w:pPr>
              <w:pStyle w:val="Compact"/>
            </w:pPr>
            <w:r>
              <w:t xml:space="preserve">DIY closed loop</w:t>
            </w:r>
          </w:p>
        </w:tc>
        <w:tc>
          <w:tcPr/>
          <w:p>
            <w:pPr>
              <w:pStyle w:val="Compact"/>
            </w:pPr>
            <w:r>
              <w:t xml:space="preserve">830</w:t>
            </w:r>
          </w:p>
        </w:tc>
        <w:tc>
          <w:tcPr/>
          <w:p>
            <w:pPr>
              <w:pStyle w:val="Compact"/>
            </w:pPr>
            <w:r>
              <w:t xml:space="preserve">0.60</w:t>
            </w:r>
          </w:p>
        </w:tc>
        <w:tc>
          <w:tcPr/>
          <w:p>
            <w:pPr>
              <w:pStyle w:val="Compact"/>
            </w:pPr>
            <w:r>
              <w:t xml:space="preserve">no</w:t>
            </w:r>
          </w:p>
        </w:tc>
      </w:tr>
      <w:tr>
        <w:tc>
          <w:tcPr/>
          <w:p>
            <w:pPr>
              <w:pStyle w:val="Compact"/>
            </w:pPr>
            <w:r>
              <w:t xml:space="preserve">REPLACE-BG</w:t>
            </w:r>
          </w:p>
        </w:tc>
        <w:tc>
          <w:tcPr/>
          <w:p>
            <w:pPr>
              <w:pStyle w:val="Compact"/>
            </w:pPr>
            <w:r>
              <w:t xml:space="preserve">None</w:t>
            </w:r>
          </w:p>
        </w:tc>
        <w:tc>
          <w:tcPr/>
          <w:p>
            <w:pPr>
              <w:pStyle w:val="Compact"/>
            </w:pPr>
            <w:r>
              <w:t xml:space="preserve">196</w:t>
            </w:r>
          </w:p>
        </w:tc>
        <w:tc>
          <w:tcPr/>
          <w:p>
            <w:pPr>
              <w:pStyle w:val="Compact"/>
            </w:pPr>
            <w:r>
              <w:t xml:space="preserve">0.51</w:t>
            </w:r>
          </w:p>
        </w:tc>
        <w:tc>
          <w:tcPr/>
          <w:p>
            <w:pPr>
              <w:pStyle w:val="Compact"/>
            </w:pPr>
            <w:r>
              <w:t xml:space="preserve">yes</w:t>
            </w:r>
          </w:p>
        </w:tc>
      </w:tr>
      <w:tr>
        <w:tc>
          <w:tcPr/>
          <w:p>
            <w:pPr>
              <w:pStyle w:val="Compact"/>
            </w:pPr>
            <w:r>
              <w:t xml:space="preserve">DCLP3</w:t>
            </w:r>
          </w:p>
        </w:tc>
        <w:tc>
          <w:tcPr/>
          <w:p>
            <w:pPr>
              <w:pStyle w:val="Compact"/>
            </w:pPr>
            <w:r>
              <w:t xml:space="preserve">Control-IQ</w:t>
            </w:r>
          </w:p>
        </w:tc>
        <w:tc>
          <w:tcPr/>
          <w:p>
            <w:pPr>
              <w:pStyle w:val="Compact"/>
            </w:pPr>
            <w:r>
              <w:t xml:space="preserve">112</w:t>
            </w:r>
          </w:p>
        </w:tc>
        <w:tc>
          <w:tcPr/>
          <w:p>
            <w:pPr>
              <w:pStyle w:val="Compact"/>
            </w:pPr>
            <w:r>
              <w:t xml:space="preserve">0.48</w:t>
            </w:r>
          </w:p>
        </w:tc>
        <w:tc>
          <w:tcPr/>
          <w:p>
            <w:pPr>
              <w:pStyle w:val="Compact"/>
            </w:pPr>
            <w:r>
              <w:t xml:space="preserve">yes</w:t>
            </w:r>
          </w:p>
        </w:tc>
      </w:tr>
      <w:tr>
        <w:tc>
          <w:tcPr/>
          <w:p>
            <w:pPr>
              <w:pStyle w:val="Compact"/>
            </w:pPr>
            <w:r>
              <w:t xml:space="preserve">DCLP5</w:t>
            </w:r>
          </w:p>
        </w:tc>
        <w:tc>
          <w:tcPr/>
          <w:p>
            <w:pPr>
              <w:pStyle w:val="Compact"/>
            </w:pPr>
            <w:r>
              <w:t xml:space="preserve">Control-IQ</w:t>
            </w:r>
          </w:p>
        </w:tc>
        <w:tc>
          <w:tcPr/>
          <w:p>
            <w:pPr>
              <w:pStyle w:val="Compact"/>
            </w:pPr>
            <w:r>
              <w:t xml:space="preserve">100</w:t>
            </w:r>
          </w:p>
        </w:tc>
        <w:tc>
          <w:tcPr/>
          <w:p>
            <w:pPr>
              <w:pStyle w:val="Compact"/>
            </w:pPr>
            <w:r>
              <w:t xml:space="preserve">0.46</w:t>
            </w:r>
          </w:p>
        </w:tc>
        <w:tc>
          <w:tcPr/>
          <w:p>
            <w:pPr>
              <w:pStyle w:val="Compact"/>
            </w:pPr>
            <w:r>
              <w:t xml:space="preserve">no</w:t>
            </w:r>
          </w:p>
        </w:tc>
      </w:tr>
      <w:tr>
        <w:tc>
          <w:tcPr/>
          <w:p>
            <w:pPr>
              <w:pStyle w:val="Compact"/>
            </w:pPr>
            <w:r>
              <w:t xml:space="preserve">PEDAP</w:t>
            </w:r>
          </w:p>
        </w:tc>
        <w:tc>
          <w:tcPr/>
          <w:p>
            <w:pPr>
              <w:pStyle w:val="Compact"/>
            </w:pPr>
            <w:r>
              <w:t xml:space="preserve">Control-IQ</w:t>
            </w:r>
          </w:p>
        </w:tc>
        <w:tc>
          <w:tcPr/>
          <w:p>
            <w:pPr>
              <w:pStyle w:val="Compact"/>
            </w:pPr>
            <w:r>
              <w:t xml:space="preserve">95</w:t>
            </w:r>
          </w:p>
        </w:tc>
        <w:tc>
          <w:tcPr/>
          <w:p>
            <w:pPr>
              <w:pStyle w:val="Compact"/>
            </w:pPr>
            <w:r>
              <w:t xml:space="preserve">0.41</w:t>
            </w:r>
          </w:p>
        </w:tc>
        <w:tc>
          <w:tcPr/>
          <w:p>
            <w:pPr>
              <w:pStyle w:val="Compact"/>
            </w:pPr>
            <w:r>
              <w:t xml:space="preserve">no</w:t>
            </w:r>
          </w:p>
        </w:tc>
      </w:tr>
      <w:tr>
        <w:tc>
          <w:tcPr/>
          <w:p>
            <w:pPr>
              <w:pStyle w:val="Compact"/>
            </w:pPr>
            <w:r>
              <w:t xml:space="preserve">IOBP2</w:t>
            </w:r>
          </w:p>
        </w:tc>
        <w:tc>
          <w:tcPr/>
          <w:p>
            <w:pPr>
              <w:pStyle w:val="Compact"/>
            </w:pPr>
            <w:r>
              <w:t xml:space="preserve">Bionic pancreas</w:t>
            </w:r>
          </w:p>
        </w:tc>
        <w:tc>
          <w:tcPr/>
          <w:p>
            <w:pPr>
              <w:pStyle w:val="Compact"/>
            </w:pPr>
            <w:r>
              <w:t xml:space="preserve">326</w:t>
            </w:r>
          </w:p>
        </w:tc>
        <w:tc>
          <w:tcPr/>
          <w:p>
            <w:pPr>
              <w:pStyle w:val="Compact"/>
            </w:pPr>
            <w:r>
              <w:t xml:space="preserve">0.39</w:t>
            </w:r>
          </w:p>
        </w:tc>
        <w:tc>
          <w:tcPr/>
          <w:p>
            <w:pPr>
              <w:pStyle w:val="Compact"/>
            </w:pPr>
            <w:r>
              <w:t xml:space="preserve">no</w:t>
            </w:r>
          </w:p>
        </w:tc>
      </w:tr>
      <w:tr>
        <w:tc>
          <w:tcPr/>
          <w:p>
            <w:pPr>
              <w:pStyle w:val="Compact"/>
            </w:pPr>
            <w:r>
              <w:t xml:space="preserve">Everyone</w:t>
            </w:r>
          </w:p>
        </w:tc>
        <w:tc>
          <w:tcPr/>
          <w:p>
            <w:pPr>
              <w:pStyle w:val="Compact"/>
            </w:pPr>
            <w:r>
              <w:t xml:space="preserve">Mixed</w:t>
            </w:r>
          </w:p>
        </w:tc>
        <w:tc>
          <w:tcPr/>
          <w:p>
            <w:pPr>
              <w:pStyle w:val="Compact"/>
            </w:pPr>
            <w:r>
              <w:t xml:space="preserve">1,659</w:t>
            </w:r>
          </w:p>
        </w:tc>
        <w:tc>
          <w:tcPr/>
          <w:p>
            <w:pPr>
              <w:pStyle w:val="Compact"/>
            </w:pPr>
            <w:r>
              <w:t xml:space="preserve">0.51</w:t>
            </w:r>
          </w:p>
        </w:tc>
        <w:tc>
          <w:tcPr/>
          <w:p>
            <w:pPr>
              <w:pStyle w:val="Compact"/>
            </w:pPr>
            <w:r>
              <w:t xml:space="preserve">no</w:t>
            </w:r>
          </w:p>
        </w:tc>
      </w:tr>
    </w:tbl>
    <w:p>
      <w:pPr>
        <w:pStyle w:val="BodyText"/>
      </w:pPr>
      <w:r>
        <w:t xml:space="preserve">Restricting to adults removes age as an explanation and sharpens the pattern.</w:t>
      </w:r>
      <w:r>
        <w:t xml:space="preserve"> </w:t>
      </w:r>
      <w:r>
        <w:t xml:space="preserve">REPLACE-BG, where no algorithm was running, sits at 0.51 and Control-IQ at 0.50,</w:t>
      </w:r>
      <w:r>
        <w:t xml:space="preserve"> </w:t>
      </w:r>
      <w:r>
        <w:t xml:space="preserve">both consistent with Walsh. The bionic pancreas delivers 0.40 and the</w:t>
      </w:r>
      <w:r>
        <w:t xml:space="preserve"> </w:t>
      </w:r>
      <w:r>
        <w:t xml:space="preserve">do-it-yourself loop 0.63. Walsh’s half therefore describes what people programme</w:t>
      </w:r>
      <w:r>
        <w:t xml:space="preserve"> </w:t>
      </w:r>
      <w:r>
        <w:t xml:space="preserve">when nothing is adjusting it, and survives one commercial system unchanged. The</w:t>
      </w:r>
      <w:r>
        <w:t xml:space="preserve"> </w:t>
      </w:r>
      <w:r>
        <w:t xml:space="preserve">remaining two move it substantially and in opposite directions, which is a</w:t>
      </w:r>
      <w:r>
        <w:t xml:space="preserve"> </w:t>
      </w:r>
      <w:r>
        <w:t xml:space="preserve">property of the algorithm rather than of the person using it.</w:t>
      </w:r>
    </w:p>
    <w:bookmarkEnd w:id="24"/>
    <w:bookmarkStart w:id="25" w:name="measured-sensitivity"/>
    <w:p>
      <w:pPr>
        <w:pStyle w:val="Heading2"/>
      </w:pPr>
      <w:r>
        <w:t xml:space="preserve">Measured sensitivity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Comparison</w:t>
            </w:r>
          </w:p>
        </w:tc>
        <w:tc>
          <w:tcPr/>
          <w:p>
            <w:pPr>
              <w:pStyle w:val="Compact"/>
            </w:pPr>
            <w:r>
              <w:t xml:space="preserve">Events</w:t>
            </w:r>
          </w:p>
        </w:tc>
        <w:tc>
          <w:tcPr/>
          <w:p>
            <w:pPr>
              <w:pStyle w:val="Compact"/>
            </w:pPr>
            <w:r>
              <w:t xml:space="preserve">Matched fall, 1–3.5 U</w:t>
            </w:r>
          </w:p>
        </w:tc>
        <w:tc>
          <w:tcPr/>
          <w:p>
            <w:pPr>
              <w:pStyle w:val="Compact"/>
            </w:pPr>
            <w:r>
              <w:t xml:space="preserve">Per acting unit</w:t>
            </w:r>
          </w:p>
        </w:tc>
        <w:tc>
          <w:tcPr/>
          <w:p>
            <w:pPr>
              <w:pStyle w:val="Compact"/>
            </w:pPr>
            <w:r>
              <w:t xml:space="preserve">Entered</w:t>
            </w:r>
          </w:p>
        </w:tc>
      </w:tr>
      <w:tr>
        <w:tc>
          <w:tcPr/>
          <w:p>
            <w:pPr>
              <w:pStyle w:val="Compact"/>
            </w:pPr>
            <w:r>
              <w:t xml:space="preserve">REPLACE-BG</w:t>
            </w:r>
          </w:p>
        </w:tc>
        <w:tc>
          <w:tcPr/>
          <w:p>
            <w:pPr>
              <w:pStyle w:val="Compact"/>
            </w:pPr>
            <w:r>
              <w:t xml:space="preserve">Open loop</w:t>
            </w:r>
          </w:p>
        </w:tc>
        <w:tc>
          <w:tcPr/>
          <w:p>
            <w:pPr>
              <w:pStyle w:val="Compact"/>
            </w:pPr>
            <w:r>
              <w:t xml:space="preserve">239</w:t>
            </w:r>
          </w:p>
        </w:tc>
        <w:tc>
          <w:tcPr/>
          <w:p>
            <w:pPr>
              <w:pStyle w:val="Compact"/>
            </w:pPr>
            <w:r>
              <w:t xml:space="preserve">22 to 35 mg/dL</w:t>
            </w:r>
          </w:p>
        </w:tc>
        <w:tc>
          <w:tcPr/>
          <w:p>
            <w:pPr>
              <w:pStyle w:val="Compact"/>
            </w:pPr>
            <w:r>
              <w:t xml:space="preserve">15 to 20</w:t>
            </w:r>
          </w:p>
        </w:tc>
        <w:tc>
          <w:tcPr/>
          <w:p>
            <w:pPr>
              <w:pStyle w:val="Compact"/>
            </w:pPr>
            <w:r>
              <w:t xml:space="preserve">45</w:t>
            </w:r>
          </w:p>
        </w:tc>
      </w:tr>
      <w:tr>
        <w:tc>
          <w:tcPr/>
          <w:p>
            <w:pPr>
              <w:pStyle w:val="Compact"/>
            </w:pPr>
            <w:r>
              <w:t xml:space="preserve">Loop</w:t>
            </w:r>
          </w:p>
        </w:tc>
        <w:tc>
          <w:tcPr/>
          <w:p>
            <w:pPr>
              <w:pStyle w:val="Compact"/>
            </w:pPr>
            <w:r>
              <w:t xml:space="preserve">DIY closed loop</w:t>
            </w:r>
          </w:p>
        </w:tc>
        <w:tc>
          <w:tcPr/>
          <w:p>
            <w:pPr>
              <w:pStyle w:val="Compact"/>
            </w:pPr>
            <w:r>
              <w:t xml:space="preserve">269</w:t>
            </w:r>
          </w:p>
        </w:tc>
        <w:tc>
          <w:tcPr/>
          <w:p>
            <w:pPr>
              <w:pStyle w:val="Compact"/>
            </w:pPr>
            <w:r>
              <w:t xml:space="preserve">-4 to 5</w:t>
            </w:r>
          </w:p>
        </w:tc>
        <w:tc>
          <w:tcPr/>
          <w:p>
            <w:pPr>
              <w:pStyle w:val="Compact"/>
            </w:pPr>
            <w:r>
              <w:t xml:space="preserve">-2 to 5</w:t>
            </w:r>
          </w:p>
        </w:tc>
        <w:tc>
          <w:tcPr/>
          <w:p>
            <w:pPr>
              <w:pStyle w:val="Compact"/>
            </w:pPr>
            <w:r>
              <w:t xml:space="preserve">57</w:t>
            </w:r>
          </w:p>
        </w:tc>
      </w:tr>
      <w:tr>
        <w:tc>
          <w:tcPr/>
          <w:p>
            <w:pPr>
              <w:pStyle w:val="Compact"/>
            </w:pPr>
            <w:r>
              <w:t xml:space="preserve">DCLP3</w:t>
            </w:r>
          </w:p>
        </w:tc>
        <w:tc>
          <w:tcPr/>
          <w:p>
            <w:pPr>
              <w:pStyle w:val="Compact"/>
            </w:pPr>
            <w:r>
              <w:t xml:space="preserve">Control-IQ</w:t>
            </w:r>
          </w:p>
        </w:tc>
        <w:tc>
          <w:tcPr/>
          <w:p>
            <w:pPr>
              <w:pStyle w:val="Compact"/>
            </w:pPr>
            <w:r>
              <w:t xml:space="preserve">79</w:t>
            </w:r>
          </w:p>
        </w:tc>
        <w:tc>
          <w:tcPr/>
          <w:p>
            <w:pPr>
              <w:pStyle w:val="Compact"/>
            </w:pPr>
            <w:r>
              <w:t xml:space="preserve">-8 to -4</w:t>
            </w:r>
          </w:p>
        </w:tc>
        <w:tc>
          <w:tcPr/>
          <w:p>
            <w:pPr>
              <w:pStyle w:val="Compact"/>
            </w:pPr>
            <w:r>
              <w:t xml:space="preserve">-5 to -4</w:t>
            </w:r>
          </w:p>
        </w:tc>
        <w:tc>
          <w:tcPr/>
          <w:p>
            <w:pPr>
              <w:pStyle w:val="Compact"/>
            </w:pPr>
            <w:r>
              <w:t xml:space="preserve">not recorded</w:t>
            </w:r>
          </w:p>
        </w:tc>
      </w:tr>
      <w:tr>
        <w:tc>
          <w:tcPr/>
          <w:p>
            <w:pPr>
              <w:pStyle w:val="Compact"/>
            </w:pPr>
            <w:r>
              <w:t xml:space="preserve">DCLP5</w:t>
            </w:r>
          </w:p>
        </w:tc>
        <w:tc>
          <w:tcPr/>
          <w:p>
            <w:pPr>
              <w:pStyle w:val="Compact"/>
            </w:pPr>
            <w:r>
              <w:t xml:space="preserve">Control-IQ</w:t>
            </w:r>
          </w:p>
        </w:tc>
        <w:tc>
          <w:tcPr/>
          <w:p>
            <w:pPr>
              <w:pStyle w:val="Compact"/>
            </w:pPr>
            <w:r>
              <w:t xml:space="preserve">38</w:t>
            </w:r>
          </w:p>
        </w:tc>
        <w:tc>
          <w:tcPr/>
          <w:p>
            <w:pPr>
              <w:pStyle w:val="Compact"/>
            </w:pPr>
            <w:r>
              <w:t xml:space="preserve">-7</w:t>
            </w:r>
          </w:p>
        </w:tc>
        <w:tc>
          <w:tcPr/>
          <w:p>
            <w:pPr>
              <w:pStyle w:val="Compact"/>
            </w:pPr>
            <w:r>
              <w:t xml:space="preserve">-9</w:t>
            </w:r>
          </w:p>
        </w:tc>
        <w:tc>
          <w:tcPr/>
          <w:p>
            <w:pPr>
              <w:pStyle w:val="Compact"/>
            </w:pPr>
            <w:r>
              <w:t xml:space="preserve">68</w:t>
            </w:r>
          </w:p>
        </w:tc>
      </w:tr>
      <w:tr>
        <w:tc>
          <w:tcPr/>
          <w:p>
            <w:pPr>
              <w:pStyle w:val="Compact"/>
            </w:pPr>
            <w:r>
              <w:t xml:space="preserve">PEDAP</w:t>
            </w:r>
          </w:p>
        </w:tc>
        <w:tc>
          <w:tcPr/>
          <w:p>
            <w:pPr>
              <w:pStyle w:val="Compact"/>
            </w:pPr>
            <w:r>
              <w:t xml:space="preserve">Control-IQ</w:t>
            </w:r>
          </w:p>
        </w:tc>
        <w:tc>
          <w:tcPr/>
          <w:p>
            <w:pPr>
              <w:pStyle w:val="Compact"/>
            </w:pPr>
            <w:r>
              <w:t xml:space="preserve">50</w:t>
            </w:r>
          </w:p>
        </w:tc>
        <w:tc>
          <w:tcPr/>
          <w:p>
            <w:pPr>
              <w:pStyle w:val="Compact"/>
            </w:pPr>
            <w:r>
              <w:t xml:space="preserve">-6</w:t>
            </w:r>
          </w:p>
        </w:tc>
        <w:tc>
          <w:tcPr/>
          <w:p>
            <w:pPr>
              <w:pStyle w:val="Compact"/>
            </w:pPr>
            <w:r>
              <w:t xml:space="preserve">-11</w:t>
            </w:r>
          </w:p>
        </w:tc>
        <w:tc>
          <w:tcPr/>
          <w:p>
            <w:pPr>
              <w:pStyle w:val="Compact"/>
            </w:pPr>
            <w:r>
              <w:t xml:space="preserve">161</w:t>
            </w:r>
          </w:p>
        </w:tc>
      </w:tr>
    </w:tbl>
    <w:p>
      <w:pPr>
        <w:pStyle w:val="BodyText"/>
      </w:pPr>
      <w:r>
        <w:t xml:space="preserve">Only the open-loop cohort returns a positive estimate. The explanation lies in</w:t>
      </w:r>
      <w:r>
        <w:t xml:space="preserve"> </w:t>
      </w:r>
      <w:r>
        <w:t xml:space="preserve">the comparison nights rather than in the treated ones. The four-hour fall on</w:t>
      </w:r>
      <w:r>
        <w:t xml:space="preserve"> </w:t>
      </w:r>
      <w:r>
        <w:t xml:space="preserve">nights when no correction was given, by starting glucose, was as follows.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120–150</w:t>
            </w:r>
          </w:p>
        </w:tc>
        <w:tc>
          <w:tcPr/>
          <w:p>
            <w:pPr>
              <w:pStyle w:val="Compact"/>
            </w:pPr>
            <w:r>
              <w:t xml:space="preserve">150–180</w:t>
            </w:r>
          </w:p>
        </w:tc>
        <w:tc>
          <w:tcPr/>
          <w:p>
            <w:pPr>
              <w:pStyle w:val="Compact"/>
            </w:pPr>
            <w:r>
              <w:t xml:space="preserve">180–220</w:t>
            </w:r>
          </w:p>
        </w:tc>
        <w:tc>
          <w:tcPr/>
          <w:p>
            <w:pPr>
              <w:pStyle w:val="Compact"/>
            </w:pPr>
            <w:r>
              <w:t xml:space="preserve">220–260</w:t>
            </w:r>
          </w:p>
        </w:tc>
        <w:tc>
          <w:tcPr/>
          <w:p>
            <w:pPr>
              <w:pStyle w:val="Compact"/>
            </w:pPr>
            <w:r>
              <w:t xml:space="preserve">260+</w:t>
            </w:r>
          </w:p>
        </w:tc>
      </w:tr>
      <w:tr>
        <w:tc>
          <w:tcPr/>
          <w:p>
            <w:pPr>
              <w:pStyle w:val="Compact"/>
            </w:pPr>
            <w:r>
              <w:t xml:space="preserve">REPLACE-BG</w:t>
            </w:r>
          </w:p>
        </w:tc>
        <w:tc>
          <w:tcPr/>
          <w:p>
            <w:pPr>
              <w:pStyle w:val="Compact"/>
            </w:pPr>
            <w:r>
              <w:t xml:space="preserve">12</w:t>
            </w:r>
          </w:p>
        </w:tc>
        <w:tc>
          <w:tcPr/>
          <w:p>
            <w:pPr>
              <w:pStyle w:val="Compact"/>
            </w:pPr>
            <w:r>
              <w:t xml:space="preserve">21</w:t>
            </w:r>
          </w:p>
        </w:tc>
        <w:tc>
          <w:tcPr/>
          <w:p>
            <w:pPr>
              <w:pStyle w:val="Compact"/>
            </w:pPr>
            <w:r>
              <w:t xml:space="preserve">30</w:t>
            </w:r>
          </w:p>
        </w:tc>
        <w:tc>
          <w:tcPr/>
          <w:p>
            <w:pPr>
              <w:pStyle w:val="Compact"/>
            </w:pPr>
            <w:r>
              <w:t xml:space="preserve">35</w:t>
            </w:r>
          </w:p>
        </w:tc>
        <w:tc>
          <w:tcPr/>
          <w:p>
            <w:pPr>
              <w:pStyle w:val="Compact"/>
            </w:pPr>
            <w:r>
              <w:t xml:space="preserve">43</w:t>
            </w:r>
          </w:p>
        </w:tc>
      </w:tr>
      <w:tr>
        <w:tc>
          <w:tcPr/>
          <w:p>
            <w:pPr>
              <w:pStyle w:val="Compact"/>
            </w:pPr>
            <w:r>
              <w:t xml:space="preserve">Loop</w:t>
            </w:r>
          </w:p>
        </w:tc>
        <w:tc>
          <w:tcPr/>
          <w:p>
            <w:pPr>
              <w:pStyle w:val="Compact"/>
            </w:pPr>
            <w:r>
              <w:t xml:space="preserve">20</w:t>
            </w:r>
          </w:p>
        </w:tc>
        <w:tc>
          <w:tcPr/>
          <w:p>
            <w:pPr>
              <w:pStyle w:val="Compact"/>
            </w:pPr>
            <w:r>
              <w:t xml:space="preserve">40</w:t>
            </w:r>
          </w:p>
        </w:tc>
        <w:tc>
          <w:tcPr/>
          <w:p>
            <w:pPr>
              <w:pStyle w:val="Compact"/>
            </w:pPr>
            <w:r>
              <w:t xml:space="preserve">62</w:t>
            </w:r>
          </w:p>
        </w:tc>
        <w:tc>
          <w:tcPr/>
          <w:p>
            <w:pPr>
              <w:pStyle w:val="Compact"/>
            </w:pPr>
            <w:r>
              <w:t xml:space="preserve">85</w:t>
            </w:r>
          </w:p>
        </w:tc>
        <w:tc>
          <w:tcPr/>
          <w:p>
            <w:pPr>
              <w:pStyle w:val="Compact"/>
            </w:pPr>
            <w:r>
              <w:t xml:space="preserve">104</w:t>
            </w:r>
          </w:p>
        </w:tc>
      </w:tr>
      <w:tr>
        <w:tc>
          <w:tcPr/>
          <w:p>
            <w:pPr>
              <w:pStyle w:val="Compact"/>
            </w:pPr>
            <w:r>
              <w:t xml:space="preserve">DCLP5</w:t>
            </w:r>
          </w:p>
        </w:tc>
        <w:tc>
          <w:tcPr/>
          <w:p>
            <w:pPr>
              <w:pStyle w:val="Compact"/>
            </w:pPr>
            <w:r>
              <w:t xml:space="preserve">11</w:t>
            </w:r>
          </w:p>
        </w:tc>
        <w:tc>
          <w:tcPr/>
          <w:p>
            <w:pPr>
              <w:pStyle w:val="Compact"/>
            </w:pPr>
            <w:r>
              <w:t xml:space="preserve">37</w:t>
            </w:r>
          </w:p>
        </w:tc>
        <w:tc>
          <w:tcPr/>
          <w:p>
            <w:pPr>
              <w:pStyle w:val="Compact"/>
            </w:pPr>
            <w:r>
              <w:t xml:space="preserve">68</w:t>
            </w:r>
          </w:p>
        </w:tc>
        <w:tc>
          <w:tcPr/>
          <w:p>
            <w:pPr>
              <w:pStyle w:val="Compact"/>
            </w:pPr>
            <w:r>
              <w:t xml:space="preserve">102</w:t>
            </w:r>
          </w:p>
        </w:tc>
        <w:tc>
          <w:tcPr/>
          <w:p>
            <w:pPr>
              <w:pStyle w:val="Compact"/>
            </w:pPr>
            <w:r>
              <w:t xml:space="preserve">126</w:t>
            </w:r>
          </w:p>
        </w:tc>
      </w:tr>
      <w:tr>
        <w:tc>
          <w:tcPr/>
          <w:p>
            <w:pPr>
              <w:pStyle w:val="Compact"/>
            </w:pPr>
            <w:r>
              <w:t xml:space="preserve">PEDAP</w:t>
            </w:r>
          </w:p>
        </w:tc>
        <w:tc>
          <w:tcPr/>
          <w:p>
            <w:pPr>
              <w:pStyle w:val="Compact"/>
            </w:pPr>
            <w:r>
              <w:t xml:space="preserve">11</w:t>
            </w:r>
          </w:p>
        </w:tc>
        <w:tc>
          <w:tcPr/>
          <w:p>
            <w:pPr>
              <w:pStyle w:val="Compact"/>
            </w:pPr>
            <w:r>
              <w:t xml:space="preserve">38</w:t>
            </w:r>
          </w:p>
        </w:tc>
        <w:tc>
          <w:tcPr/>
          <w:p>
            <w:pPr>
              <w:pStyle w:val="Compact"/>
            </w:pPr>
            <w:r>
              <w:t xml:space="preserve">72</w:t>
            </w:r>
          </w:p>
        </w:tc>
        <w:tc>
          <w:tcPr/>
          <w:p>
            <w:pPr>
              <w:pStyle w:val="Compact"/>
            </w:pPr>
            <w:r>
              <w:t xml:space="preserve">111</w:t>
            </w:r>
          </w:p>
        </w:tc>
        <w:tc>
          <w:tcPr/>
          <w:p>
            <w:pPr>
              <w:pStyle w:val="Compact"/>
            </w:pPr>
            <w:r>
              <w:t xml:space="preserve">146</w:t>
            </w:r>
          </w:p>
        </w:tc>
      </w:tr>
    </w:tbl>
    <w:p>
      <w:pPr>
        <w:pStyle w:val="BodyText"/>
      </w:pPr>
      <w:r>
        <w:t xml:space="preserve">Under an algorithm a night without a bolus is not an untreated night. Glucose</w:t>
      </w:r>
      <w:r>
        <w:t xml:space="preserve"> </w:t>
      </w:r>
      <w:r>
        <w:t xml:space="preserve">fell two to three times as far as in the open-loop cohort, because the algorithm</w:t>
      </w:r>
      <w:r>
        <w:t xml:space="preserve"> </w:t>
      </w:r>
      <w:r>
        <w:t xml:space="preserve">delivered the correction through basal and arrived at a comparable endpoint. An</w:t>
      </w:r>
      <w:r>
        <w:t xml:space="preserve"> </w:t>
      </w:r>
      <w:r>
        <w:t xml:space="preserve">added bolus therefore has little left to produce and little to measure.</w:t>
      </w:r>
    </w:p>
    <w:p>
      <w:pPr>
        <w:pStyle w:val="BodyText"/>
      </w:pPr>
      <w:r>
        <w:t xml:space="preserve">This is not a consequence of the matching being too loose, and tightening it does</w:t>
      </w:r>
      <w:r>
        <w:t xml:space="preserve"> </w:t>
      </w:r>
      <w:r>
        <w:t xml:space="preserve">not help. Progressive conditioning in the Loop cohort moved the estimate from 11.6</w:t>
      </w:r>
      <w:r>
        <w:t xml:space="preserve"> </w:t>
      </w:r>
      <w:r>
        <w:t xml:space="preserve">mg/dL per unit with person and hour alone, to 4.3 adding glucose to 50 mg/dL, to</w:t>
      </w:r>
      <w:r>
        <w:t xml:space="preserve"> </w:t>
      </w:r>
      <w:r>
        <w:t xml:space="preserve">2.8 at 15 mg/dL, and then to a plateau: 2.6 adding slope, 2.9 adding glucose one</w:t>
      </w:r>
      <w:r>
        <w:t xml:space="preserve"> </w:t>
      </w:r>
      <w:r>
        <w:t xml:space="preserve">hour earlier, 2.6 tightening that further. A plateau argues against measurement</w:t>
      </w:r>
      <w:r>
        <w:t xml:space="preserve"> </w:t>
      </w:r>
      <w:r>
        <w:t xml:space="preserve">error in the reconstructed exposure, which would continue to drive the slope</w:t>
      </w:r>
      <w:r>
        <w:t xml:space="preserve"> </w:t>
      </w:r>
      <w:r>
        <w:t xml:space="preserve">toward zero as conditioning removed genuine variation. The large first step is</w:t>
      </w:r>
      <w:r>
        <w:t xml:space="preserve"> </w:t>
      </w:r>
      <w:r>
        <w:t xml:space="preserve">consistent with removal of mean reversion, since glucose that is high both</w:t>
      </w:r>
      <w:r>
        <w:t xml:space="preserve"> </w:t>
      </w:r>
      <w:r>
        <w:t xml:space="preserve">attracts insulin and falls without it.</w:t>
      </w:r>
    </w:p>
    <w:p>
      <w:pPr>
        <w:pStyle w:val="BodyText"/>
      </w:pPr>
      <w:r>
        <w:t xml:space="preserve">What remains is that the algorithm’s dose is tied to need the CGM trace does not</w:t>
      </w:r>
      <w:r>
        <w:t xml:space="preserve"> </w:t>
      </w:r>
      <w:r>
        <w:t xml:space="preserve">carry. Within an identical stratum, the correlation between insulin committed</w:t>
      </w:r>
      <w:r>
        <w:t xml:space="preserve"> </w:t>
      </w:r>
      <w:r>
        <w:t xml:space="preserve">before a window and insulin delivered during it was 0.054 in REPLACE-BG and 0.447</w:t>
      </w:r>
      <w:r>
        <w:t xml:space="preserve"> </w:t>
      </w:r>
      <w:r>
        <w:t xml:space="preserve">in Loop, with intermediate values of 0.062 in DCLP3, 0.140 in DCLP5, 0.151 in</w:t>
      </w:r>
      <w:r>
        <w:t xml:space="preserve"> </w:t>
      </w:r>
      <w:r>
        <w:t xml:space="preserve">PEDAP and 0.212 in IOBP2. Someone who gives a correction and sleeps generates</w:t>
      </w:r>
      <w:r>
        <w:t xml:space="preserve"> </w:t>
      </w:r>
      <w:r>
        <w:t xml:space="preserve">almost none of this association. A controller sampling every five minutes</w:t>
      </w:r>
      <w:r>
        <w:t xml:space="preserve"> </w:t>
      </w:r>
      <w:r>
        <w:t xml:space="preserve">continues to respond to information the trace does not contain, so conditioning on</w:t>
      </w:r>
      <w:r>
        <w:t xml:space="preserve"> </w:t>
      </w:r>
      <w:r>
        <w:t xml:space="preserve">the trace cannot break the association between its dosing and the outcome.</w:t>
      </w:r>
    </w:p>
    <w:p>
      <w:pPr>
        <w:pStyle w:val="BodyText"/>
      </w:pPr>
      <w:r>
        <w:t xml:space="preserve">In the one cohort where the question can be posed, a unit produced 15 to 20 mg/dL</w:t>
      </w:r>
      <w:r>
        <w:t xml:space="preserve"> </w:t>
      </w:r>
      <w:r>
        <w:t xml:space="preserve">of fall overnight against 45 entered, which as a constant is 630 to 840 against</w:t>
      </w:r>
      <w:r>
        <w:t xml:space="preserve"> </w:t>
      </w:r>
      <w:r>
        <w:t xml:space="preserve">1886. The ratio of measured to entered lay between 0.39 and 0.50 across four</w:t>
      </w:r>
      <w:r>
        <w:t xml:space="preserve"> </w:t>
      </w:r>
      <w:r>
        <w:t xml:space="preserve">cohorts.</w:t>
      </w:r>
    </w:p>
    <w:bookmarkEnd w:id="25"/>
    <w:bookmarkStart w:id="26" w:name="X057c38acdec262b0aec50fa67bc766348285d02"/>
    <w:p>
      <w:pPr>
        <w:pStyle w:val="Heading2"/>
      </w:pPr>
      <w:r>
        <w:t xml:space="preserve">The constant fitted from observed response</w:t>
      </w:r>
    </w:p>
    <w:p>
      <w:pPr>
        <w:pStyle w:val="FirstParagraph"/>
      </w:pPr>
      <w:r>
        <w:t xml:space="preserve">A settings file claims something narrow: that a correction of U units will lower</w:t>
      </w:r>
      <w:r>
        <w:t xml:space="preserve"> </w:t>
      </w:r>
      <w:r>
        <w:t xml:space="preserve">glucose by ISF times U. That claim can be measured directly. Isolated overnight</w:t>
      </w:r>
      <w:r>
        <w:t xml:space="preserve"> </w:t>
      </w:r>
      <w:r>
        <w:t xml:space="preserve">corrections of at least 1 U were selected at a starting glucose between 150 and</w:t>
      </w:r>
      <w:r>
        <w:t xml:space="preserve"> </w:t>
      </w:r>
      <w:r>
        <w:t xml:space="preserve">300 mg/dL, with a six-hour window so that the response of a six-hour insulin model</w:t>
      </w:r>
      <w:r>
        <w:t xml:space="preserve"> </w:t>
      </w:r>
      <w:r>
        <w:t xml:space="preserve">falls inside the observation, and the fall per unit given was taken as the median</w:t>
      </w:r>
      <w:r>
        <w:t xml:space="preserve"> </w:t>
      </w:r>
      <w:r>
        <w:t xml:space="preserve">across each person’s nights and multiplied by their measured daily dose.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People</w:t>
            </w:r>
          </w:p>
        </w:tc>
        <w:tc>
          <w:tcPr/>
          <w:p>
            <w:pPr>
              <w:pStyle w:val="Compact"/>
            </w:pPr>
            <w:r>
              <w:t xml:space="preserve">Nights</w:t>
            </w:r>
          </w:p>
        </w:tc>
        <w:tc>
          <w:tcPr/>
          <w:p>
            <w:pPr>
              <w:pStyle w:val="Compact"/>
            </w:pPr>
            <w:r>
              <w:t xml:space="preserve">Fall per unit, mg/dL</w:t>
            </w:r>
          </w:p>
        </w:tc>
        <w:tc>
          <w:tcPr/>
          <w:p>
            <w:pPr>
              <w:pStyle w:val="Compact"/>
            </w:pPr>
            <w:r>
              <w:t xml:space="preserve">Constant</w:t>
            </w:r>
          </w:p>
        </w:tc>
        <w:tc>
          <w:tcPr/>
          <w:p>
            <w:pPr>
              <w:pStyle w:val="Compact"/>
            </w:pPr>
            <w:r>
              <w:t xml:space="preserve">95% CI</w:t>
            </w:r>
          </w:p>
        </w:tc>
      </w:tr>
      <w:tr>
        <w:tc>
          <w:tcPr/>
          <w:p>
            <w:pPr>
              <w:pStyle w:val="Compact"/>
            </w:pPr>
            <w:r>
              <w:t xml:space="preserve">REPLACE-BG, open loop</w:t>
            </w:r>
          </w:p>
        </w:tc>
        <w:tc>
          <w:tcPr/>
          <w:p>
            <w:pPr>
              <w:pStyle w:val="Compact"/>
            </w:pPr>
            <w:r>
              <w:t xml:space="preserve">78</w:t>
            </w:r>
          </w:p>
        </w:tc>
        <w:tc>
          <w:tcPr/>
          <w:p>
            <w:pPr>
              <w:pStyle w:val="Compact"/>
            </w:pPr>
            <w:r>
              <w:t xml:space="preserve">422</w:t>
            </w:r>
          </w:p>
        </w:tc>
        <w:tc>
          <w:tcPr/>
          <w:p>
            <w:pPr>
              <w:pStyle w:val="Compact"/>
            </w:pPr>
            <w:r>
              <w:t xml:space="preserve">31.6</w:t>
            </w:r>
          </w:p>
        </w:tc>
        <w:tc>
          <w:tcPr/>
          <w:p>
            <w:pPr>
              <w:pStyle w:val="Compact"/>
            </w:pPr>
            <w:r>
              <w:t xml:space="preserve">1558</w:t>
            </w:r>
          </w:p>
        </w:tc>
        <w:tc>
          <w:tcPr/>
          <w:p>
            <w:pPr>
              <w:pStyle w:val="Compact"/>
            </w:pPr>
            <w:r>
              <w:t xml:space="preserve">1319 to 1737</w:t>
            </w:r>
          </w:p>
        </w:tc>
      </w:tr>
      <w:tr>
        <w:tc>
          <w:tcPr/>
          <w:p>
            <w:pPr>
              <w:pStyle w:val="Compact"/>
            </w:pPr>
            <w:r>
              <w:t xml:space="preserve">Loop, DIY closed loop</w:t>
            </w:r>
          </w:p>
        </w:tc>
        <w:tc>
          <w:tcPr/>
          <w:p>
            <w:pPr>
              <w:pStyle w:val="Compact"/>
            </w:pPr>
            <w:r>
              <w:t xml:space="preserve">80</w:t>
            </w:r>
          </w:p>
        </w:tc>
        <w:tc>
          <w:tcPr/>
          <w:p>
            <w:pPr>
              <w:pStyle w:val="Compact"/>
            </w:pPr>
            <w:r>
              <w:t xml:space="preserve">365</w:t>
            </w:r>
          </w:p>
        </w:tc>
        <w:tc>
          <w:tcPr/>
          <w:p>
            <w:pPr>
              <w:pStyle w:val="Compact"/>
            </w:pPr>
            <w:r>
              <w:t xml:space="preserve">42.0</w:t>
            </w:r>
          </w:p>
        </w:tc>
        <w:tc>
          <w:tcPr/>
          <w:p>
            <w:pPr>
              <w:pStyle w:val="Compact"/>
            </w:pPr>
            <w:r>
              <w:t xml:space="preserve">1947</w:t>
            </w:r>
          </w:p>
        </w:tc>
        <w:tc>
          <w:tcPr/>
          <w:p>
            <w:pPr>
              <w:pStyle w:val="Compact"/>
            </w:pPr>
            <w:r>
              <w:t xml:space="preserve">1660 to 2249</w:t>
            </w:r>
          </w:p>
        </w:tc>
      </w:tr>
    </w:tbl>
    <w:p>
      <w:pPr>
        <w:pStyle w:val="BodyText"/>
      </w:pPr>
      <w:r>
        <w:t xml:space="preserve">REPLACE-BG is the cohort to read. It is the only one in which nothing but the</w:t>
      </w:r>
      <w:r>
        <w:t xml:space="preserve"> </w:t>
      </w:r>
      <w:r>
        <w:t xml:space="preserve">person’s own correction and their programmed basal is acting during the window,</w:t>
      </w:r>
      <w:r>
        <w:t xml:space="preserve"> </w:t>
      </w:r>
      <w:r>
        <w:t xml:space="preserve">so the fall can be attributed to the dose. Its interval covers Walsh’s 1700 and</w:t>
      </w:r>
      <w:r>
        <w:t xml:space="preserve"> </w:t>
      </w:r>
      <w:r>
        <w:t xml:space="preserve">lies below the 1915 those people and their peers have entered, which says that</w:t>
      </w:r>
      <w:r>
        <w:t xml:space="preserve"> </w:t>
      </w:r>
      <w:r>
        <w:t xml:space="preserve">entered settings are slightly weak rather than substantially so: a correction</w:t>
      </w:r>
      <w:r>
        <w:t xml:space="preserve"> </w:t>
      </w:r>
      <w:r>
        <w:t xml:space="preserve">delivers a little more than the setting predicts.</w:t>
      </w:r>
    </w:p>
    <w:p>
      <w:pPr>
        <w:pStyle w:val="BodyText"/>
      </w:pPr>
      <w:r>
        <w:t xml:space="preserve">The Loop figure of 1947 is larger and should not be read as a sensitivity. The</w:t>
      </w:r>
      <w:r>
        <w:t xml:space="preserve"> </w:t>
      </w:r>
      <w:r>
        <w:t xml:space="preserve">algorithm continues to act throughout the window, so part of that fall is the</w:t>
      </w:r>
      <w:r>
        <w:t xml:space="preserve"> </w:t>
      </w:r>
      <w:r>
        <w:t xml:space="preserve">controller’s work rather than the bolus, and the estimate is biased upward for the</w:t>
      </w:r>
      <w:r>
        <w:t xml:space="preserve"> </w:t>
      </w:r>
      <w:r>
        <w:t xml:space="preserve">same reason the matched estimator was biased downward.</w:t>
      </w:r>
    </w:p>
    <w:p>
      <w:pPr>
        <w:pStyle w:val="BodyText"/>
      </w:pPr>
      <w:r>
        <w:t xml:space="preserve">The horizon was tested rather than assumed. Rebuilding every window at six hours</w:t>
      </w:r>
      <w:r>
        <w:t xml:space="preserve"> </w:t>
      </w:r>
      <w:r>
        <w:t xml:space="preserve">instead of four moved the pooled fitted constant from 880 to 874, so truncation of</w:t>
      </w:r>
      <w:r>
        <w:t xml:space="preserve"> </w:t>
      </w:r>
      <w:r>
        <w:t xml:space="preserve">the insulin tail is not a material source of bias in this design.</w:t>
      </w:r>
    </w:p>
    <w:bookmarkEnd w:id="26"/>
    <w:bookmarkStart w:id="27" w:name="Xeeef5e81579ef1553c89ec4d2eacce7cb911a68"/>
    <w:p>
      <w:pPr>
        <w:pStyle w:val="Heading2"/>
      </w:pPr>
      <w:r>
        <w:t xml:space="preserve">An estimator withdrawn, and a constant with it</w:t>
      </w:r>
    </w:p>
    <w:p>
      <w:pPr>
        <w:pStyle w:val="FirstParagraph"/>
      </w:pPr>
      <w:r>
        <w:t xml:space="preserve">Two earlier attempts on this question are withdrawn, and both failed in ways worth</w:t>
      </w:r>
      <w:r>
        <w:t xml:space="preserve"> </w:t>
      </w:r>
      <w:r>
        <w:t xml:space="preserve">recording because the failures are not obvious from their output.</w:t>
      </w:r>
    </w:p>
    <w:p>
      <w:pPr>
        <w:pStyle w:val="BodyText"/>
      </w:pPr>
      <w:r>
        <w:t xml:space="preserve">The first regressed a per-person measured sensitivity on daily dose and reported a</w:t>
      </w:r>
      <w:r>
        <w:t xml:space="preserve"> </w:t>
      </w:r>
      <w:r>
        <w:t xml:space="preserve">slope of +0.107 with an interval of -0.024 to +0.240 as evidence that one constant</w:t>
      </w:r>
      <w:r>
        <w:t xml:space="preserve"> </w:t>
      </w:r>
      <w:r>
        <w:t xml:space="preserve">fits the whole dose range. It was fitted only to the 1,182 people of 1,660 whose</w:t>
      </w:r>
      <w:r>
        <w:t xml:space="preserve"> </w:t>
      </w:r>
      <w:r>
        <w:t xml:space="preserve">measured sensitivity came out above zero, which is selection on the outcome, and</w:t>
      </w:r>
      <w:r>
        <w:t xml:space="preserve"> </w:t>
      </w:r>
      <w:r>
        <w:t xml:space="preserve">it pooled cohorts whose bias differs. Within-cohort slopes from that estimator run</w:t>
      </w:r>
      <w:r>
        <w:t xml:space="preserve"> </w:t>
      </w:r>
      <w:r>
        <w:t xml:space="preserve">-0.053 in REPLACE-BG to +0.323 in DCLP5, with the largest cohort excluding zero at</w:t>
      </w:r>
      <w:r>
        <w:t xml:space="preserve"> </w:t>
      </w:r>
      <w:r>
        <w:t xml:space="preserve">+0.245. The defence offered was that a multiplier common to everyone cannot alter</w:t>
      </w:r>
      <w:r>
        <w:t xml:space="preserve"> </w:t>
      </w:r>
      <w:r>
        <w:t xml:space="preserve">a slope, and the multiplier is not common: the endogeneity measure above spans</w:t>
      </w:r>
      <w:r>
        <w:t xml:space="preserve"> </w:t>
      </w:r>
      <w:r>
        <w:t xml:space="preserve">0.054 to 0.447 between cohorts and cohort median daily dose spans 13.6 to 55.5 U,</w:t>
      </w:r>
      <w:r>
        <w:t xml:space="preserve"> </w:t>
      </w:r>
      <w:r>
        <w:t xml:space="preserve">so a cohort-specific bias varies along the axis the slope is measured on.</w:t>
      </w:r>
    </w:p>
    <w:p>
      <w:pPr>
        <w:pStyle w:val="BodyText"/>
      </w:pPr>
      <w:r>
        <w:t xml:space="preserve">The second fitted ISF = K / TDD^b to predict the overnight fall out of sample and</w:t>
      </w:r>
      <w:r>
        <w:t xml:space="preserve"> </w:t>
      </w:r>
      <w:r>
        <w:t xml:space="preserve">reported K = 880 at Walsh’s exponent. The exposure was the action within the</w:t>
      </w:r>
      <w:r>
        <w:t xml:space="preserve"> </w:t>
      </w:r>
      <w:r>
        <w:t xml:space="preserve">window from insulin given before it opened, chosen because pre-committed insulin</w:t>
      </w:r>
      <w:r>
        <w:t xml:space="preserve"> </w:t>
      </w:r>
      <w:r>
        <w:t xml:space="preserve">cannot respond to what happens inside the window. That choice discards the</w:t>
      </w:r>
      <w:r>
        <w:t xml:space="preserve"> </w:t>
      </w:r>
      <w:r>
        <w:t xml:space="preserve">correction. On isolated correction nights only 22 to 29% of the action is</w:t>
      </w:r>
      <w:r>
        <w:t xml:space="preserve"> </w:t>
      </w:r>
      <w:r>
        <w:t xml:space="preserve">pre-window, and the remainder is the tail of the basal rate, so the fitted</w:t>
      </w:r>
      <w:r>
        <w:t xml:space="preserve"> </w:t>
      </w:r>
      <w:r>
        <w:t xml:space="preserve">coefficient was the effect of the basal tail rather than of a dose. Refitting on</w:t>
      </w:r>
      <w:r>
        <w:t xml:space="preserve"> </w:t>
      </w:r>
      <w:r>
        <w:t xml:space="preserve">total action does not repair it, giving 355, because overnight most of that total</w:t>
      </w:r>
      <w:r>
        <w:t xml:space="preserve"> </w:t>
      </w:r>
      <w:r>
        <w:t xml:space="preserve">is also basal, and basal holds glucose level rather than lowering it. A per-person</w:t>
      </w:r>
      <w:r>
        <w:t xml:space="preserve"> </w:t>
      </w:r>
      <w:r>
        <w:t xml:space="preserve">intercept does not separate the two, since within a person both exposures vary</w:t>
      </w:r>
      <w:r>
        <w:t xml:space="preserve"> </w:t>
      </w:r>
      <w:r>
        <w:t xml:space="preserve">mostly through basal.</w:t>
      </w:r>
    </w:p>
    <w:p>
      <w:pPr>
        <w:pStyle w:val="BodyText"/>
      </w:pPr>
      <w:r>
        <w:t xml:space="preserve">The direct measurement above avoids this by restricting to nights when the dose is</w:t>
      </w:r>
      <w:r>
        <w:t xml:space="preserve"> </w:t>
      </w:r>
      <w:r>
        <w:t xml:space="preserve">identifiable, at the cost of using 78 people rather than 1,511.</w:t>
      </w:r>
    </w:p>
    <w:bookmarkEnd w:id="27"/>
    <w:bookmarkEnd w:id="28"/>
    <w:bookmarkStart w:id="29" w:name="discussion"/>
    <w:p>
      <w:pPr>
        <w:pStyle w:val="Heading1"/>
      </w:pPr>
      <w:r>
        <w:t xml:space="preserve">Discussion</w:t>
      </w:r>
    </w:p>
    <w:p>
      <w:pPr>
        <w:pStyle w:val="FirstParagraph"/>
      </w:pPr>
      <w:r>
        <w:t xml:space="preserve">Four findings follow from this analysis.</w:t>
      </w:r>
    </w:p>
    <w:p>
      <w:pPr>
        <w:pStyle w:val="BodyText"/>
      </w:pPr>
      <w:r>
        <w:t xml:space="preserve">The first concerns method, and it arose twice in this work. An</w:t>
      </w:r>
      <w:r>
        <w:t xml:space="preserve"> </w:t>
      </w:r>
      <w:r>
        <w:t xml:space="preserve">inverse-proportional relationship between sensitivity and daily dose can be</w:t>
      </w:r>
      <w:r>
        <w:t xml:space="preserve"> </w:t>
      </w:r>
      <w:r>
        <w:t xml:space="preserve">manufactured by pooling groups that differ in level, and in this corpus it was:</w:t>
      </w:r>
      <w:r>
        <w:t xml:space="preserve"> </w:t>
      </w:r>
      <w:r>
        <w:t xml:space="preserve">the pooled slope of -0.98 became -0.73 in the same people restricted to adults,</w:t>
      </w:r>
      <w:r>
        <w:t xml:space="preserve"> </w:t>
      </w:r>
      <w:r>
        <w:t xml:space="preserve">with 51% of the pooled sample under 18. Any validation of a dose-derived constant</w:t>
      </w:r>
      <w:r>
        <w:t xml:space="preserve"> </w:t>
      </w:r>
      <w:r>
        <w:t xml:space="preserve">performed on a cohort of mixed age is therefore weak evidence for the functional</w:t>
      </w:r>
      <w:r>
        <w:t xml:space="preserve"> </w:t>
      </w:r>
      <w:r>
        <w:t xml:space="preserve">form, and the direction of the artefact is toward confirmation.</w:t>
      </w:r>
    </w:p>
    <w:p>
      <w:pPr>
        <w:pStyle w:val="BodyText"/>
      </w:pPr>
      <w:r>
        <w:t xml:space="preserve">The same artefact then appeared in the measured analysis, where the author</w:t>
      </w:r>
      <w:r>
        <w:t xml:space="preserve"> </w:t>
      </w:r>
      <w:r>
        <w:t xml:space="preserve">initially reported a pooled slope near zero as evidence that one constant fits the</w:t>
      </w:r>
      <w:r>
        <w:t xml:space="preserve"> </w:t>
      </w:r>
      <w:r>
        <w:t xml:space="preserve">whole dose range. It does not survive stratification. Within-cohort slopes from</w:t>
      </w:r>
      <w:r>
        <w:t xml:space="preserve"> </w:t>
      </w:r>
      <w:r>
        <w:t xml:space="preserve">that estimator run from -0.05 to +0.32 and the largest cohort excludes zero at</w:t>
      </w:r>
      <w:r>
        <w:t xml:space="preserve"> </w:t>
      </w:r>
      <w:r>
        <w:t xml:space="preserve">+0.245. The independent predictive fit reaches the same conclusion by a sounder</w:t>
      </w:r>
      <w:r>
        <w:t xml:space="preserve"> </w:t>
      </w:r>
      <w:r>
        <w:t xml:space="preserve">route, since the best-fitting exponent there spans 0.50 to 1.10 between cohorts</w:t>
      </w:r>
      <w:r>
        <w:t xml:space="preserve"> </w:t>
      </w:r>
      <w:r>
        <w:t xml:space="preserve">and the constant at a fixed exponent spans a factor of 3.39. Pooling estimates</w:t>
      </w:r>
      <w:r>
        <w:t xml:space="preserve"> </w:t>
      </w:r>
      <w:r>
        <w:t xml:space="preserve">whose bias differs by group, across groups that differ in the exposure, reproduces</w:t>
      </w:r>
      <w:r>
        <w:t xml:space="preserve"> </w:t>
      </w:r>
      <w:r>
        <w:t xml:space="preserve">the error in a second place. This applies to the author’s earlier work and to an</w:t>
      </w:r>
      <w:r>
        <w:t xml:space="preserve"> </w:t>
      </w:r>
      <w:r>
        <w:t xml:space="preserve">earlier draft of the present paper.</w:t>
      </w:r>
    </w:p>
    <w:p>
      <w:pPr>
        <w:pStyle w:val="BodyText"/>
      </w:pPr>
      <w:r>
        <w:t xml:space="preserve">The second concerns the constants themselves. The carbohydrate ratio rule is the</w:t>
      </w:r>
      <w:r>
        <w:t xml:space="preserve"> </w:t>
      </w:r>
      <w:r>
        <w:t xml:space="preserve">clearest departure from practice and the most consistent, at 415 measured and 409</w:t>
      </w:r>
      <w:r>
        <w:t xml:space="preserve"> </w:t>
      </w:r>
      <w:r>
        <w:t xml:space="preserve">entered against 500, with agreement between the two approaches and no detectable</w:t>
      </w:r>
      <w:r>
        <w:t xml:space="preserve"> </w:t>
      </w:r>
      <w:r>
        <w:t xml:space="preserve">bias in the measurement. The basal rule holds where nothing is adjusting delivery</w:t>
      </w:r>
      <w:r>
        <w:t xml:space="preserve"> </w:t>
      </w:r>
      <w:r>
        <w:t xml:space="preserve">and does not describe what an automated system delivers, which is unsurprising</w:t>
      </w:r>
      <w:r>
        <w:t xml:space="preserve"> </w:t>
      </w:r>
      <w:r>
        <w:t xml:space="preserve">once stated but is worth separating from any claim about the person. The</w:t>
      </w:r>
      <w:r>
        <w:t xml:space="preserve"> </w:t>
      </w:r>
      <w:r>
        <w:t xml:space="preserve">sensitivity rule is 13% out in adults and 41% out in children, in the same</w:t>
      </w:r>
      <w:r>
        <w:t xml:space="preserve"> </w:t>
      </w:r>
      <w:r>
        <w:t xml:space="preserve">direction, and covers 1700 only in adults aged 45 and over.</w:t>
      </w:r>
    </w:p>
    <w:p>
      <w:pPr>
        <w:pStyle w:val="BodyText"/>
      </w:pPr>
      <w:r>
        <w:t xml:space="preserve">The third concerns which of the three original constants survives measurement,</w:t>
      </w:r>
      <w:r>
        <w:t xml:space="preserve"> </w:t>
      </w:r>
      <w:r>
        <w:t xml:space="preserve">and the answer inverts the picture from entered settings alone. Measured from</w:t>
      </w:r>
      <w:r>
        <w:t xml:space="preserve"> </w:t>
      </w:r>
      <w:r>
        <w:t xml:space="preserve">isolated corrections where nothing else was intervening, the sensitivity constant</w:t>
      </w:r>
      <w:r>
        <w:t xml:space="preserve"> </w:t>
      </w:r>
      <w:r>
        <w:t xml:space="preserve">is 1558 with an interval of 1319 to 1737, which covers Walsh’s 1700. What people</w:t>
      </w:r>
      <w:r>
        <w:t xml:space="preserve"> </w:t>
      </w:r>
      <w:r>
        <w:t xml:space="preserve">enter, 1915 in adults, sits above both, so entered settings are slightly weak and</w:t>
      </w:r>
      <w:r>
        <w:t xml:space="preserve"> </w:t>
      </w:r>
      <w:r>
        <w:t xml:space="preserve">a correction delivers a little more than the setting predicts. The carbohydrate</w:t>
      </w:r>
      <w:r>
        <w:t xml:space="preserve"> </w:t>
      </w:r>
      <w:r>
        <w:t xml:space="preserve">ratio goes the other way and further: 415 measured against 500, with entered</w:t>
      </w:r>
      <w:r>
        <w:t xml:space="preserve"> </w:t>
      </w:r>
      <w:r>
        <w:t xml:space="preserve">settings at 409 agreeing with the measurement rather than with the rule.</w:t>
      </w:r>
    </w:p>
    <w:p>
      <w:pPr>
        <w:pStyle w:val="BodyText"/>
      </w:pPr>
      <w:r>
        <w:t xml:space="preserve">So Walsh’s sensitivity constant is closer to what insulin does than to what people</w:t>
      </w:r>
      <w:r>
        <w:t xml:space="preserve"> </w:t>
      </w:r>
      <w:r>
        <w:t xml:space="preserve">have written down, and the carbohydrate rule is wrong by a fifth in both. That</w:t>
      </w:r>
      <w:r>
        <w:t xml:space="preserve"> </w:t>
      </w:r>
      <w:r>
        <w:t xml:space="preserve">distinction is only visible because both quantities were measured rather than read</w:t>
      </w:r>
      <w:r>
        <w:t xml:space="preserve"> </w:t>
      </w:r>
      <w:r>
        <w:t xml:space="preserve">off settings, and it is the reason this analysis was worth doing on device data at</w:t>
      </w:r>
      <w:r>
        <w:t xml:space="preserve"> </w:t>
      </w:r>
      <w:r>
        <w:t xml:space="preserve">all.</w:t>
      </w:r>
    </w:p>
    <w:p>
      <w:pPr>
        <w:pStyle w:val="BodyText"/>
      </w:pPr>
      <w:r>
        <w:t xml:space="preserve">A caution attaches to the sensitivity figure that does not attach to the</w:t>
      </w:r>
      <w:r>
        <w:t xml:space="preserve"> </w:t>
      </w:r>
      <w:r>
        <w:t xml:space="preserve">carbohydrate one. It rests on 78 people in a single cohort, because it requires a</w:t>
      </w:r>
      <w:r>
        <w:t xml:space="preserve"> </w:t>
      </w:r>
      <w:r>
        <w:t xml:space="preserve">correction whose effect is attributable, and that requires no algorithm to be</w:t>
      </w:r>
      <w:r>
        <w:t xml:space="preserve"> </w:t>
      </w:r>
      <w:r>
        <w:t xml:space="preserve">running. The carbohydrate constant rests on 742 people across cohorts. The</w:t>
      </w:r>
      <w:r>
        <w:t xml:space="preserve"> </w:t>
      </w:r>
      <w:r>
        <w:t xml:space="preserve">intervals reflect this and the sensitivity interval is correspondingly wide.</w:t>
      </w:r>
    </w:p>
    <w:p>
      <w:pPr>
        <w:pStyle w:val="BodyText"/>
      </w:pPr>
      <w:r>
        <w:t xml:space="preserve">The fourth concerns study design. The absence of a measurable bolus effect in</w:t>
      </w:r>
      <w:r>
        <w:t xml:space="preserve"> </w:t>
      </w:r>
      <w:r>
        <w:t xml:space="preserve">four automated cohorts is a finding about those systems rather than a failure of</w:t>
      </w:r>
      <w:r>
        <w:t xml:space="preserve"> </w:t>
      </w:r>
      <w:r>
        <w:t xml:space="preserve">measurement, since the algorithm reached a comparable glucose endpoint through</w:t>
      </w:r>
      <w:r>
        <w:t xml:space="preserve"> </w:t>
      </w:r>
      <w:r>
        <w:t xml:space="preserve">basal adjustment alone. Observational estimation of</w:t>
      </w:r>
      <w:r>
        <w:t xml:space="preserve"> </w:t>
      </w:r>
      <w:r>
        <w:t xml:space="preserve">insulin sensitivity from automated insulin delivery data is obstructed by the</w:t>
      </w:r>
      <w:r>
        <w:t xml:space="preserve"> </w:t>
      </w:r>
      <w:r>
        <w:t xml:space="preserve">controller acting on information that is not recoverable from the CGM trace, and</w:t>
      </w:r>
      <w:r>
        <w:t xml:space="preserve"> </w:t>
      </w:r>
      <w:r>
        <w:t xml:space="preserve">the strength of that obstruction can be quantified by the association reported</w:t>
      </w:r>
      <w:r>
        <w:t xml:space="preserve"> </w:t>
      </w:r>
      <w:r>
        <w:t xml:space="preserve">above. This bears on the growing literature that estimates sensitivity from</w:t>
      </w:r>
      <w:r>
        <w:t xml:space="preserve"> </w:t>
      </w:r>
      <w:r>
        <w:t xml:space="preserve">closed-loop device data, and suggests such estimates require an open-loop</w:t>
      </w:r>
      <w:r>
        <w:t xml:space="preserve"> </w:t>
      </w:r>
      <w:r>
        <w:t xml:space="preserve">comparison or an experimental manipulation of dose.</w:t>
      </w:r>
    </w:p>
    <w:bookmarkEnd w:id="29"/>
    <w:bookmarkStart w:id="30" w:name="limitations"/>
    <w:p>
      <w:pPr>
        <w:pStyle w:val="Heading1"/>
      </w:pPr>
      <w:r>
        <w:t xml:space="preserve">Limitations</w:t>
      </w:r>
    </w:p>
    <w:p>
      <w:pPr>
        <w:pStyle w:val="FirstParagraph"/>
      </w:pPr>
      <w:r>
        <w:t xml:space="preserve">The analysis is observational throughout, and no dose was assigned by the</w:t>
      </w:r>
      <w:r>
        <w:t xml:space="preserve"> </w:t>
      </w:r>
      <w:r>
        <w:t xml:space="preserve">investigator. Confounding by indication is the dominant threat to the sensitivity</w:t>
      </w:r>
      <w:r>
        <w:t xml:space="preserve"> </w:t>
      </w:r>
      <w:r>
        <w:t xml:space="preserve">estimates and is the explicit subject of the closed-loop results.</w:t>
      </w:r>
    </w:p>
    <w:p>
      <w:pPr>
        <w:pStyle w:val="BodyText"/>
      </w:pPr>
      <w:r>
        <w:t xml:space="preserve">The window horizon is four hours against insulin models of six, so part of the</w:t>
      </w:r>
      <w:r>
        <w:t xml:space="preserve"> </w:t>
      </w:r>
      <w:r>
        <w:t xml:space="preserve">glucose response falls outside the observation. Several mechanisms could each produce a</w:t>
      </w:r>
      <w:r>
        <w:t xml:space="preserve"> </w:t>
      </w:r>
      <w:r>
        <w:t xml:space="preserve">measured-to-entered ratio near 0.4. Truncation at four hours is one. Selection into</w:t>
      </w:r>
      <w:r>
        <w:t xml:space="preserve"> </w:t>
      </w:r>
      <w:r>
        <w:t xml:space="preserve">correcting at times when glucose is expected to remain high is a second, and</w:t>
      </w:r>
      <w:r>
        <w:t xml:space="preserve"> </w:t>
      </w:r>
      <w:r>
        <w:t xml:space="preserve">optimism in entered settings a third. The present design does not separate them,</w:t>
      </w:r>
      <w:r>
        <w:t xml:space="preserve"> </w:t>
      </w:r>
      <w:r>
        <w:t xml:space="preserve">and extending the horizon to six hours would address the first. That extension is</w:t>
      </w:r>
      <w:r>
        <w:t xml:space="preserve"> </w:t>
      </w:r>
      <w:r>
        <w:t xml:space="preserve">planned.</w:t>
      </w:r>
    </w:p>
    <w:p>
      <w:pPr>
        <w:pStyle w:val="BodyText"/>
      </w:pPr>
      <w:r>
        <w:t xml:space="preserve">The measured sensitivity estimator returns a value at or below zero for 29% of</w:t>
      </w:r>
      <w:r>
        <w:t xml:space="preserve"> </w:t>
      </w:r>
      <w:r>
        <w:t xml:space="preserve">people, 478 of 1,660, and any analysis restricted to positive values is selecting</w:t>
      </w:r>
      <w:r>
        <w:t xml:space="preserve"> </w:t>
      </w:r>
      <w:r>
        <w:t xml:space="preserve">on the outcome. Survival of that filter is close to independent of daily dose, at</w:t>
      </w:r>
      <w:r>
        <w:t xml:space="preserve"> </w:t>
      </w:r>
      <w:r>
        <w:t xml:space="preserve">Spearman +0.042 with p = 0.084, so it does not by itself generate a spurious</w:t>
      </w:r>
      <w:r>
        <w:t xml:space="preserve"> </w:t>
      </w:r>
      <w:r>
        <w:t xml:space="preserve">scaling. It does mean the surviving group is not a random sample of the cohort,</w:t>
      </w:r>
      <w:r>
        <w:t xml:space="preserve"> </w:t>
      </w:r>
      <w:r>
        <w:t xml:space="preserve">and the pooled estimates in the measured section should be read with that in mind.</w:t>
      </w:r>
    </w:p>
    <w:p>
      <w:pPr>
        <w:pStyle w:val="BodyText"/>
      </w:pPr>
      <w:r>
        <w:t xml:space="preserve">Insulin action is reconstructed rather than observed. For the Loop cohort the</w:t>
      </w:r>
      <w:r>
        <w:t xml:space="preserve"> </w:t>
      </w:r>
      <w:r>
        <w:t xml:space="preserve">model was selected per person against the app’s own recorded insulin on board,</w:t>
      </w:r>
      <w:r>
        <w:t xml:space="preserve"> </w:t>
      </w:r>
      <w:r>
        <w:t xml:space="preserve">reaching r = 0.927, but elsewhere a single model was assumed.</w:t>
      </w:r>
    </w:p>
    <w:p>
      <w:pPr>
        <w:pStyle w:val="BodyText"/>
      </w:pPr>
      <w:r>
        <w:t xml:space="preserve">Entered settings were available for 719 people of the 1,678 with device data, and</w:t>
      </w:r>
      <w:r>
        <w:t xml:space="preserve"> </w:t>
      </w:r>
      <w:r>
        <w:t xml:space="preserve">two cohorts ship no settings file. The under-18 entered figures rest on Jaeb</w:t>
      </w:r>
      <w:r>
        <w:t xml:space="preserve"> </w:t>
      </w:r>
      <w:r>
        <w:t xml:space="preserve">participants alone, since the OpenAPS Data Commons cohort contains no children.</w:t>
      </w:r>
    </w:p>
    <w:p>
      <w:pPr>
        <w:pStyle w:val="BodyText"/>
      </w:pPr>
      <w:r>
        <w:t xml:space="preserve">Daylight saving displaces time of day by one hour for part of the year in the Loop</w:t>
      </w:r>
      <w:r>
        <w:t xml:space="preserve"> </w:t>
      </w:r>
      <w:r>
        <w:t xml:space="preserve">cohort. Body weight is not available in the loaded data, so sensitivity per</w:t>
      </w:r>
      <w:r>
        <w:t xml:space="preserve"> </w:t>
      </w:r>
      <w:r>
        <w:t xml:space="preserve">kilogram could not be examined, and weight is a plausible mediator of the age</w:t>
      </w:r>
      <w:r>
        <w:t xml:space="preserve"> </w:t>
      </w:r>
      <w:r>
        <w:t xml:space="preserve">pattern reported here. The OpenAPS Data Commons participants are self-selected and</w:t>
      </w:r>
      <w:r>
        <w:t xml:space="preserve"> </w:t>
      </w:r>
      <w:r>
        <w:t xml:space="preserve">technically engaged, which is consistent with their distinct slopes and should</w:t>
      </w:r>
      <w:r>
        <w:t xml:space="preserve"> </w:t>
      </w:r>
      <w:r>
        <w:t xml:space="preserve">temper generalisation from them.</w:t>
      </w:r>
    </w:p>
    <w:bookmarkEnd w:id="30"/>
    <w:bookmarkStart w:id="31" w:name="conclusions"/>
    <w:p>
      <w:pPr>
        <w:pStyle w:val="Heading1"/>
      </w:pPr>
      <w:r>
        <w:t xml:space="preserve">Conclusions</w:t>
      </w:r>
    </w:p>
    <w:p>
      <w:pPr>
        <w:pStyle w:val="FirstParagraph"/>
      </w:pPr>
      <w:r>
        <w:t xml:space="preserve">Recomputed across 719 people with entered settings and 1,678 with device data, the</w:t>
      </w:r>
      <w:r>
        <w:t xml:space="preserve"> </w:t>
      </w:r>
      <w:r>
        <w:t xml:space="preserve">carbohydrate ratio constant is 415 rather than 500 and the basal share is 0.51</w:t>
      </w:r>
      <w:r>
        <w:t xml:space="preserve"> </w:t>
      </w:r>
      <w:r>
        <w:t xml:space="preserve">where no algorithm is adjusting delivery. The sensitivity constant is 1915 in</w:t>
      </w:r>
      <w:r>
        <w:t xml:space="preserve"> </w:t>
      </w:r>
      <w:r>
        <w:t xml:space="preserve">adults and 2390 in people under 18, and pooling those groups produces both a</w:t>
      </w:r>
      <w:r>
        <w:t xml:space="preserve"> </w:t>
      </w:r>
      <w:r>
        <w:t xml:space="preserve">constant and a functional form that describe neither. The inverse-proportional</w:t>
      </w:r>
      <w:r>
        <w:t xml:space="preserve"> </w:t>
      </w:r>
      <w:r>
        <w:t xml:space="preserve">form is not supported once age is held constant. Measured directly from isolated</w:t>
      </w:r>
      <w:r>
        <w:t xml:space="preserve"> </w:t>
      </w:r>
      <w:r>
        <w:t xml:space="preserve">overnight corrections where no algorithm was intervening, the sensitivity constant</w:t>
      </w:r>
      <w:r>
        <w:t xml:space="preserve"> </w:t>
      </w:r>
      <w:r>
        <w:t xml:space="preserve">is 1558 with an interval of 1319 to 1737, which covers Walsh’s 1700 and sits below</w:t>
      </w:r>
      <w:r>
        <w:t xml:space="preserve"> </w:t>
      </w:r>
      <w:r>
        <w:t xml:space="preserve">the 1915 people enter. Of the three rules, sensitivity is therefore the one whose</w:t>
      </w:r>
      <w:r>
        <w:t xml:space="preserve"> </w:t>
      </w:r>
      <w:r>
        <w:t xml:space="preserve">original constant survives measurement, and the carbohydrate ratio is the one that</w:t>
      </w:r>
      <w:r>
        <w:t xml:space="preserve"> </w:t>
      </w:r>
      <w:r>
        <w:t xml:space="preserve">does not.</w:t>
      </w:r>
    </w:p>
    <w:bookmarkEnd w:id="31"/>
    <w:bookmarkStart w:id="32" w:name="data-availability"/>
    <w:p>
      <w:pPr>
        <w:pStyle w:val="Heading1"/>
      </w:pPr>
      <w:r>
        <w:t xml:space="preserve">Data availability</w:t>
      </w:r>
    </w:p>
    <w:p>
      <w:pPr>
        <w:pStyle w:val="FirstParagraph"/>
      </w:pPr>
      <w:r>
        <w:t xml:space="preserve">The Jaeb datasets are available from https://public.jaeb.org/datasets/diabetes</w:t>
      </w:r>
      <w:r>
        <w:t xml:space="preserve"> </w:t>
      </w:r>
      <w:r>
        <w:t xml:space="preserve">under the terms stated there. The OpenAPS Data Commons is available on</w:t>
      </w:r>
      <w:r>
        <w:t xml:space="preserve"> </w:t>
      </w:r>
      <w:r>
        <w:t xml:space="preserve">application to its curators. No participant-level data are redistributed with this</w:t>
      </w:r>
      <w:r>
        <w:t xml:space="preserve"> </w:t>
      </w:r>
      <w:r>
        <w:t xml:space="preserve">work.</w:t>
      </w:r>
    </w:p>
    <w:bookmarkEnd w:id="32"/>
    <w:bookmarkStart w:id="33" w:name="code-availability"/>
    <w:p>
      <w:pPr>
        <w:pStyle w:val="Heading1"/>
      </w:pPr>
      <w:r>
        <w:t xml:space="preserve">Code availability</w:t>
      </w:r>
    </w:p>
    <w:p>
      <w:pPr>
        <w:pStyle w:val="FirstParagraph"/>
      </w:pPr>
      <w:r>
        <w:t xml:space="preserve">Analysis code is at https://github.com/tim2000s/dynamic-isf-calculations. The</w:t>
      </w:r>
      <w:r>
        <w:t xml:space="preserve"> </w:t>
      </w:r>
      <w:r>
        <w:t xml:space="preserve">entered constants are produced by</w:t>
      </w:r>
      <w:r>
        <w:t xml:space="preserve"> </w:t>
      </w:r>
      <w:r>
        <w:rPr>
          <w:rStyle w:val="VerbatimChar"/>
        </w:rPr>
        <w:t xml:space="preserve">inv009/walsh_constants.py</w:t>
      </w:r>
      <w:r>
        <w:t xml:space="preserve">, the measured</w:t>
      </w:r>
      <w:r>
        <w:t xml:space="preserve"> </w:t>
      </w:r>
      <w:r>
        <w:t xml:space="preserve">carbohydrate ratio and basal share by</w:t>
      </w:r>
      <w:r>
        <w:t xml:space="preserve"> </w:t>
      </w:r>
      <w:r>
        <w:rPr>
          <w:rStyle w:val="VerbatimChar"/>
        </w:rPr>
        <w:t xml:space="preserve">inv009/measured_basal_cr.py</w:t>
      </w:r>
      <w:r>
        <w:t xml:space="preserve">, the</w:t>
      </w:r>
      <w:r>
        <w:t xml:space="preserve"> </w:t>
      </w:r>
      <w:r>
        <w:t xml:space="preserve">per-cohort sensitivity measurement by</w:t>
      </w:r>
      <w:r>
        <w:t xml:space="preserve"> </w:t>
      </w:r>
      <w:r>
        <w:rPr>
          <w:rStyle w:val="VerbatimChar"/>
        </w:rPr>
        <w:t xml:space="preserve">inv009/measured_isf_by_study.py</w:t>
      </w:r>
      <w:r>
        <w:t xml:space="preserve">, and the</w:t>
      </w:r>
      <w:r>
        <w:t xml:space="preserve"> </w:t>
      </w:r>
      <w:r>
        <w:t xml:space="preserve">net-dose estimator and its diagnostics by</w:t>
      </w:r>
      <w:r>
        <w:t xml:space="preserve"> </w:t>
      </w:r>
      <w:r>
        <w:rPr>
          <w:rStyle w:val="VerbatimChar"/>
        </w:rPr>
        <w:t xml:space="preserve">inv009/net_dose_isf.py</w:t>
      </w:r>
      <w:r>
        <w:t xml:space="preserve">.</w:t>
      </w:r>
    </w:p>
    <w:bookmarkEnd w:id="33"/>
    <w:bookmarkStart w:id="34" w:name="acknowledgements-and-attribution"/>
    <w:p>
      <w:pPr>
        <w:pStyle w:val="Heading1"/>
      </w:pPr>
      <w:r>
        <w:t xml:space="preserve">Acknowledgements and attribution</w:t>
      </w:r>
    </w:p>
    <w:p>
      <w:pPr>
        <w:pStyle w:val="FirstParagraph"/>
      </w:pPr>
      <w:r>
        <w:t xml:space="preserve">The source of the data is the Loop Study (sponsored by the Jaeb Center for Health</w:t>
      </w:r>
      <w:r>
        <w:t xml:space="preserve"> </w:t>
      </w:r>
      <w:r>
        <w:t xml:space="preserve">Research and funded by the Helmsley Charitable Trust), but the analyses, content</w:t>
      </w:r>
      <w:r>
        <w:t xml:space="preserve"> </w:t>
      </w:r>
      <w:r>
        <w:t xml:space="preserve">and conclusions presented herein are solely the responsibility of the authors and</w:t>
      </w:r>
      <w:r>
        <w:t xml:space="preserve"> </w:t>
      </w:r>
      <w:r>
        <w:t xml:space="preserve">have not been reviewed or approved by the study sponsor.</w:t>
      </w:r>
    </w:p>
    <w:p>
      <w:pPr>
        <w:pStyle w:val="BodyText"/>
      </w:pPr>
      <w:r>
        <w:t xml:space="preserve">The source of the data is the Insulin Only Bionic Pancreas Pivotal Trial, but the</w:t>
      </w:r>
      <w:r>
        <w:t xml:space="preserve"> </w:t>
      </w:r>
      <w:r>
        <w:t xml:space="preserve">analyses, content and conclusions presented herein are solely the responsibility</w:t>
      </w:r>
      <w:r>
        <w:t xml:space="preserve"> </w:t>
      </w:r>
      <w:r>
        <w:t xml:space="preserve">of the authors and have not been reviewed or approved by the Bionic Pancreas</w:t>
      </w:r>
      <w:r>
        <w:t xml:space="preserve"> </w:t>
      </w:r>
      <w:r>
        <w:t xml:space="preserve">Research Group or Beta Bionics.</w:t>
      </w:r>
    </w:p>
    <w:p>
      <w:pPr>
        <w:pStyle w:val="BodyText"/>
      </w:pPr>
      <w:r>
        <w:t xml:space="preserve">Data from REPLACE-BG, DCLP3, DCLP5 and PEDAP were supplied by the Jaeb Center for</w:t>
      </w:r>
      <w:r>
        <w:t xml:space="preserve"> </w:t>
      </w:r>
      <w:r>
        <w:t xml:space="preserve">Health Research. The analyses, content and conclusions presented herein are solely</w:t>
      </w:r>
      <w:r>
        <w:t xml:space="preserve"> </w:t>
      </w:r>
      <w:r>
        <w:t xml:space="preserve">the responsibility of the author and have not been reviewed or approved by the</w:t>
      </w:r>
      <w:r>
        <w:t xml:space="preserve"> </w:t>
      </w:r>
      <w:r>
        <w:t xml:space="preserve">study sponsors. The author thanks the participants of all seven cohorts, and the</w:t>
      </w:r>
      <w:r>
        <w:t xml:space="preserve"> </w:t>
      </w:r>
      <w:r>
        <w:t xml:space="preserve">curators of the OpenAPS Data Commons.</w:t>
      </w:r>
    </w:p>
    <w:bookmarkEnd w:id="34"/>
    <w:bookmarkStart w:id="35" w:name="references"/>
    <w:p>
      <w:pPr>
        <w:pStyle w:val="Heading1"/>
      </w:pPr>
      <w:r>
        <w:t xml:space="preserve">References</w:t>
      </w:r>
    </w:p>
    <w:p>
      <w:pPr>
        <w:pStyle w:val="Compact"/>
        <w:numPr>
          <w:ilvl w:val="0"/>
          <w:numId w:val="1001"/>
        </w:numPr>
      </w:pPr>
      <w:r>
        <w:t xml:space="preserve">Walsh J, Roberts R. Pumping Insulin. 6th ed. San Diego: Torrey Pines Press; 2016.</w:t>
      </w:r>
    </w:p>
    <w:p>
      <w:pPr>
        <w:pStyle w:val="Compact"/>
        <w:numPr>
          <w:ilvl w:val="0"/>
          <w:numId w:val="1001"/>
        </w:numPr>
      </w:pPr>
      <w:r>
        <w:t xml:space="preserve">Davidson PC, Hebblewhite HR, Steed RD, Bode BW. Analysis of guidelines for</w:t>
      </w:r>
      <w:r>
        <w:t xml:space="preserve"> </w:t>
      </w:r>
      <w:r>
        <w:t xml:space="preserve">basal-bolus insulin dosing: basal insulin, correction factor, and</w:t>
      </w:r>
      <w:r>
        <w:t xml:space="preserve"> </w:t>
      </w:r>
      <w:r>
        <w:t xml:space="preserve">carbohydrate-to-insulin ratio. Endocrine Practice. 2008;14(9):1095-1101.</w:t>
      </w:r>
    </w:p>
    <w:p>
      <w:pPr>
        <w:pStyle w:val="Compact"/>
        <w:numPr>
          <w:ilvl w:val="0"/>
          <w:numId w:val="1001"/>
        </w:numPr>
      </w:pPr>
      <w:r>
        <w:t xml:space="preserve">Aleppo G, Ruedy KJ, Riddlesworth TD, et al. REPLACE-BG: A Randomized Trial</w:t>
      </w:r>
      <w:r>
        <w:t xml:space="preserve"> </w:t>
      </w:r>
      <w:r>
        <w:t xml:space="preserve">Comparing Continuous Glucose Monitoring With and Without Routine Blood Glucose</w:t>
      </w:r>
      <w:r>
        <w:t xml:space="preserve"> </w:t>
      </w:r>
      <w:r>
        <w:t xml:space="preserve">Monitoring in Adults With Well-Controlled Type 1 Diabetes. Diabetes Care.</w:t>
      </w:r>
      <w:r>
        <w:t xml:space="preserve"> </w:t>
      </w:r>
      <w:r>
        <w:t xml:space="preserve">2017;40(4):538-545.</w:t>
      </w:r>
    </w:p>
    <w:p>
      <w:pPr>
        <w:pStyle w:val="Compact"/>
        <w:numPr>
          <w:ilvl w:val="0"/>
          <w:numId w:val="1001"/>
        </w:numPr>
      </w:pPr>
      <w:r>
        <w:t xml:space="preserve">Brown SA, Kovatchev BP, Raghinaru D, et al. Six-Month Randomized, Multicenter</w:t>
      </w:r>
      <w:r>
        <w:t xml:space="preserve"> </w:t>
      </w:r>
      <w:r>
        <w:t xml:space="preserve">Trial of Closed-Loop Control in Type 1 Diabetes. New England Journal of</w:t>
      </w:r>
      <w:r>
        <w:t xml:space="preserve"> </w:t>
      </w:r>
      <w:r>
        <w:t xml:space="preserve">Medicine. 2019;381(18):1707-1717.</w:t>
      </w:r>
    </w:p>
    <w:p>
      <w:pPr>
        <w:pStyle w:val="Compact"/>
        <w:numPr>
          <w:ilvl w:val="0"/>
          <w:numId w:val="1001"/>
        </w:numPr>
      </w:pPr>
      <w:r>
        <w:t xml:space="preserve">Breton MD, Kanapka LG, Beck RW, et al. A Randomized Trial of Closed-Loop</w:t>
      </w:r>
      <w:r>
        <w:t xml:space="preserve"> </w:t>
      </w:r>
      <w:r>
        <w:t xml:space="preserve">Control in Children with Type 1 Diabetes. New England Journal of Medicine.</w:t>
      </w:r>
      <w:r>
        <w:t xml:space="preserve"> </w:t>
      </w:r>
      <w:r>
        <w:t xml:space="preserve">2020;383(9):836-845.</w:t>
      </w:r>
    </w:p>
    <w:p>
      <w:pPr>
        <w:pStyle w:val="Compact"/>
        <w:numPr>
          <w:ilvl w:val="0"/>
          <w:numId w:val="1001"/>
        </w:numPr>
      </w:pPr>
      <w:r>
        <w:t xml:space="preserve">Wadwa RP, Reed ZW, Buckingham BA, et al. Trial of Hybrid Closed-Loop Control in</w:t>
      </w:r>
      <w:r>
        <w:t xml:space="preserve"> </w:t>
      </w:r>
      <w:r>
        <w:t xml:space="preserve">Young Children with Type 1 Diabetes. New England Journal of Medicine.</w:t>
      </w:r>
      <w:r>
        <w:t xml:space="preserve"> </w:t>
      </w:r>
      <w:r>
        <w:t xml:space="preserve">2023;388(11):991-1001.</w:t>
      </w:r>
    </w:p>
    <w:p>
      <w:pPr>
        <w:pStyle w:val="Compact"/>
        <w:numPr>
          <w:ilvl w:val="0"/>
          <w:numId w:val="1001"/>
        </w:numPr>
      </w:pPr>
      <w:r>
        <w:t xml:space="preserve">Bionic Pancreas Research Group. Multicenter, Randomized Trial of a Bionic</w:t>
      </w:r>
      <w:r>
        <w:t xml:space="preserve"> </w:t>
      </w:r>
      <w:r>
        <w:t xml:space="preserve">Pancreas in Type 1 Diabetes. New England Journal of Medicine.</w:t>
      </w:r>
      <w:r>
        <w:t xml:space="preserve"> </w:t>
      </w:r>
      <w:r>
        <w:t xml:space="preserve">2022;387(13):1161-1172.</w:t>
      </w:r>
    </w:p>
    <w:p>
      <w:pPr>
        <w:pStyle w:val="Compact"/>
        <w:numPr>
          <w:ilvl w:val="0"/>
          <w:numId w:val="1001"/>
        </w:numPr>
      </w:pPr>
      <w:r>
        <w:t xml:space="preserve">Lewis D, Leibrand S, #OpenAPS Community. Real-World Use of Open Source</w:t>
      </w:r>
      <w:r>
        <w:t xml:space="preserve"> </w:t>
      </w:r>
      <w:r>
        <w:t xml:space="preserve">Artificial Pancreas Systems. Journal of Diabetes Science and Technology.</w:t>
      </w:r>
      <w:r>
        <w:t xml:space="preserve"> </w:t>
      </w:r>
      <w:r>
        <w:t xml:space="preserve">2016;10(6):1411.</w:t>
      </w:r>
    </w:p>
    <w:p>
      <w:pPr>
        <w:pStyle w:val="Compact"/>
        <w:numPr>
          <w:ilvl w:val="0"/>
          <w:numId w:val="1001"/>
        </w:numPr>
      </w:pPr>
      <w:r>
        <w:t xml:space="preserve">DerSimonian R, Laird N. Meta-analysis in clinical trials. Controlled Clinical</w:t>
      </w:r>
      <w:r>
        <w:t xml:space="preserve"> </w:t>
      </w:r>
      <w:r>
        <w:t xml:space="preserve">Trials. 1986;7(3):177-188.</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Walsh insulin dosing constants in type 1 diabetes</dc:title>
  <dc:creator>Tim Street, Diabettech</dc:creator>
  <cp:keywords/>
  <dcterms:created xsi:type="dcterms:W3CDTF">2026-08-26T16:44:47Z</dcterms:created>
  <dcterms:modified xsi:type="dcterms:W3CDTF">2026-08-26T16:44:47Z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Insulin pump therapy is initialised from three rules that divide a constant by total daily dose: 1700 for the sensitivity factor, 500 for the carbohydrate ratio, and half the daily dose for basal. The rules predate continuous glucose monitoring and have been validated mostly in small cohorts of mixed age. This analysis recomputed them in 719 people with entered pump settings and 1,678 people with device data, drawn from six Jaeb Center trials and the OpenAPS Data Commons, spanning ages 2 to 82 and daily doses of 7 to 107 U. Pooled across all ages the sensitivity constant was 2108 (95% CI 2048 to 2183), which excludes 1700. Restricted to adults it was 1915 (1828 to 1986) and in people under 18 it was 2390 (2281 to 2526). The pooled log-log slope of sensitivity on daily dose was -0.98 (-1.03 to -0.93), apparently confirming the inverse rule, but the same people restricted to adults gave -0.73 (-0.82 to -0.65). Because 51% of the pooled sample was under 18, the apparent confirmation was an artefact of age composition. The carbohydrate ratio constant measured from 23,596 announced meals that ended within 20 mg/dL of their starting glucose was 415 (405 to 425), and entered divided by measured was 1.02, indicating no detectable bias. Basal share was 0.51 overall and depended on the automation in use rather than on the person, at 0.51 with no algorithm, 0.50 under one commercial system, 0.40 under a bionic pancreas and 0.63 under a do-it-yourself loop. The sensitivity constant could not be measured in the same way. In the single open-loop cohort a correction of 1 to 3.5 U produced 15 to 20 mg/dL of glucose fall per acting unit against 45 entered, and in every closed-loop cohort the estimate was near zero or negative because comparison nights had already been corrected through basal. Entered and measured sensitivity are different quantities, since a pump setting encodes the whole expected fall including spontaneous reversion of 21 to 30 mg/dL over four hours. Measured directly from isolated overnight corrections in the open-loop cohort, with a six-hour window, the fall was 31.6 mg/dL per unit given and the constant 1558 (1319 to 1737) in 78 people over 422 nights, an interval that covers Walsh’s 1700 and lies below the 1915 people enter.</vt:lpwstr>
  </property>
  <property fmtid="{D5CDD505-2E9C-101B-9397-08002B2CF9AE}" pid="3" name="date">
    <vt:lpwstr>26 August 2026</vt:lpwstr>
  </property>
  <property fmtid="{D5CDD505-2E9C-101B-9397-08002B2CF9AE}" pid="4" name="subtitle">
    <vt:lpwstr>Age composition in entered settings, and the limits of measurement from device data</vt:lpwstr>
  </property>
</Properties>
</file>