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16.png" ContentType="image/png"/>
  <Override PartName="/word/media/rId12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64ee264ec0025958c3d08d0e7a3484a9e1701b2"/>
    <w:p>
      <w:pPr>
        <w:pStyle w:val="Heading1"/>
      </w:pPr>
      <w:r>
        <w:t xml:space="preserve">Dynamic ISF — analysis of the v1 and v2 equations</w:t>
      </w:r>
    </w:p>
    <w:p>
      <w:pPr>
        <w:pStyle w:val="FirstParagraph"/>
      </w:pPr>
      <w:r>
        <w:rPr>
          <w:b/>
          <w:bCs/>
        </w:rPr>
        <w:t xml:space="preserve">2026-06-07</w:t>
      </w:r>
      <w:r>
        <w:t xml:space="preserve"> </w:t>
      </w:r>
      <w:r>
        <w:t xml:space="preserve">(same-window outcome test §3.6 added 2026-06-09) · Tim Street / Claude · Data: 171 people using open-source AID systems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Dynamic ISF sets correction sensitivity from total daily dose (TDD) and current glucose. v1</w:t>
      </w:r>
      <w:r>
        <w:t xml:space="preserve"> </w:t>
      </w:r>
      <w:r>
        <w:t xml:space="preserve">(Chris Wilson) makes the sensitivity anchor inversely proportional to TDD. v2 makes it</w:t>
      </w:r>
      <w:r>
        <w:t xml:space="preserve"> </w:t>
      </w:r>
      <w:r>
        <w:t xml:space="preserve">inversely proportional to TDD squared, and uses the glucose term</w:t>
      </w:r>
      <w:r>
        <w:t xml:space="preserve"> </w:t>
      </w:r>
      <w:r>
        <w:rPr>
          <w:rStyle w:val="VerbatimChar"/>
        </w:rPr>
        <w:t xml:space="preserve">ln(BG/divisor)</w:t>
      </w:r>
      <w:r>
        <w:t xml:space="preserve"> </w:t>
      </w:r>
      <w:r>
        <w:t xml:space="preserve">with glucose</w:t>
      </w:r>
      <w:r>
        <w:t xml:space="preserve"> </w:t>
      </w:r>
      <w:r>
        <w:t xml:space="preserve">floored at</w:t>
      </w:r>
      <w:r>
        <w:t xml:space="preserve"> </w:t>
      </w:r>
      <w:r>
        <w:rPr>
          <w:rStyle w:val="VerbatimChar"/>
        </w:rPr>
        <w:t xml:space="preserve">divisor+1</w:t>
      </w:r>
      <w:r>
        <w:t xml:space="preserve">. We ran each person’s real glucose and insulin history through both</w:t>
      </w:r>
      <w:r>
        <w:t xml:space="preserve"> </w:t>
      </w:r>
      <w:r>
        <w:t xml:space="preserve">equations, about 9 million glucose readings across 171 people, and compared the sensitivity</w:t>
      </w:r>
      <w:r>
        <w:t xml:space="preserve"> </w:t>
      </w:r>
      <w:r>
        <w:t xml:space="preserve">each one would have produced.</w:t>
      </w:r>
    </w:p>
    <w:p>
      <w:pPr>
        <w:pStyle w:val="BodyText"/>
      </w:pPr>
      <w:r>
        <w:t xml:space="preserve">The two equations differ on both axes. Because v1 keeps a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in its glucose log and v2 does</w:t>
      </w:r>
      <w:r>
        <w:t xml:space="preserve"> </w:t>
      </w:r>
      <w:r>
        <w:t xml:space="preserve">not, the ratio between them changes with glucose: v2 produces a far higher ISF at low glucose</w:t>
      </w:r>
      <w:r>
        <w:t xml:space="preserve"> </w:t>
      </w:r>
      <w:r>
        <w:t xml:space="preserve">and only a modest one when high. Across the cohort v2 is the gentler equation almost</w:t>
      </w:r>
      <w:r>
        <w:t xml:space="preserve"> </w:t>
      </w:r>
      <w:r>
        <w:t xml:space="preserve">everywhere, giving a weaker correction than v1 on 92% of readings (a median of 3.0×, rising to</w:t>
      </w:r>
      <w:r>
        <w:t xml:space="preserve"> </w:t>
      </w:r>
      <w:r>
        <w:t xml:space="preserve">roughly 53× below 80 mg/dL and easing to about 1.5× above 200). That low-glucose behaviour is</w:t>
      </w:r>
      <w:r>
        <w:t xml:space="preserve"> </w:t>
      </w:r>
      <w:r>
        <w:t xml:space="preserve">sensible hypo protection.</w:t>
      </w:r>
    </w:p>
    <w:p>
      <w:pPr>
        <w:pStyle w:val="BodyText"/>
      </w:pPr>
      <w:r>
        <w:t xml:space="preserve">The TDD exponent is the problem. Sensitivity calculated independently from each person’s own</w:t>
      </w:r>
      <w:r>
        <w:t xml:space="preserve"> </w:t>
      </w:r>
      <w:r>
        <w:t xml:space="preserve">data scales as roughly TDD^−0.5, or shallower; v2 assumes TDD^−2. As a between-person predictor</w:t>
      </w:r>
      <w:r>
        <w:t xml:space="preserve"> </w:t>
      </w:r>
      <w:r>
        <w:t xml:space="preserve">of sensitivity, v2 is the worst of every form we tested (median error around 171 mg/dL per unit</w:t>
      </w:r>
      <w:r>
        <w:t xml:space="preserve"> </w:t>
      </w:r>
      <w:r>
        <w:t xml:space="preserve">against measured sensitivity), and its overall level sits well above where observed sensitivity</w:t>
      </w:r>
      <w:r>
        <w:t xml:space="preserve"> </w:t>
      </w:r>
      <w:r>
        <w:t xml:space="preserve">lies. So v2’s glucose behaviour points the right way while its TDD scaling and level are off.</w:t>
      </w:r>
    </w:p>
    <w:p>
      <w:pPr>
        <w:pStyle w:val="BodyText"/>
      </w:pPr>
      <w:r>
        <w:t xml:space="preserve">A separate, outcome-anchored test backs this up: rescaling the loop’s own glucose prediction to</w:t>
      </w:r>
      <w:r>
        <w:t xml:space="preserve"> </w:t>
      </w:r>
      <w:r>
        <w:t xml:space="preserve">each candidate ISF on 62,751 identical overnight windows, a person’s tuned static ISF predicts</w:t>
      </w:r>
      <w:r>
        <w:t xml:space="preserve"> </w:t>
      </w:r>
      <w:r>
        <w:t xml:space="preserve">the realised drop about as well as the loop itself and better than either dynamic equation,</w:t>
      </w:r>
      <w:r>
        <w:t xml:space="preserve"> </w:t>
      </w:r>
      <w:r>
        <w:t xml:space="preserve">v2 worst — the same ranking, reached from outcomes rather than from the equations (§3.6).</w:t>
      </w:r>
    </w:p>
    <w:p>
      <w:r>
        <w:pict>
          <v:rect style="width:0;height:1.5pt" o:hralign="center" o:hrstd="t" o:hr="t"/>
        </w:pict>
      </w:r>
    </w:p>
    <w:bookmarkEnd w:id="9"/>
    <w:bookmarkStart w:id="10" w:name="the-two-equations"/>
    <w:p>
      <w:pPr>
        <w:pStyle w:val="Heading2"/>
      </w:pPr>
      <w:r>
        <w:t xml:space="preserve">1. The two equations</w:t>
      </w:r>
    </w:p>
    <w:p>
      <w:pPr>
        <w:pStyle w:val="FirstParagraph"/>
      </w:pPr>
      <w:r>
        <w:t xml:space="preserve">Both derive a blended TDD, then a sensitivity anchor at normal target, then scale that by</w:t>
      </w:r>
      <w:r>
        <w:t xml:space="preserve"> </w:t>
      </w:r>
      <w:r>
        <w:t xml:space="preserve">glucose.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sensitivity anchor at normal target</w:t>
            </w:r>
          </w:p>
        </w:tc>
        <w:tc>
          <w:tcPr/>
          <w:p>
            <w:pPr>
              <w:pStyle w:val="Compact"/>
            </w:pPr>
            <w:r>
              <w:t xml:space="preserve">implied TDD 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1800 / (TDD · ln(target/divisor + 1))</w:t>
            </w:r>
          </w:p>
        </w:tc>
        <w:tc>
          <w:tcPr/>
          <w:p>
            <w:pPr>
              <w:pStyle w:val="Compact"/>
            </w:pPr>
            <w:r>
              <w:t xml:space="preserve">ISF ∝ 1/TDD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2300 / (ln(target/divisor) · TDD² · 0.02)</w:t>
            </w:r>
          </w:p>
        </w:tc>
        <w:tc>
          <w:tcPr/>
          <w:p>
            <w:pPr>
              <w:pStyle w:val="Compact"/>
            </w:pPr>
            <w:r>
              <w:t xml:space="preserve">ISF ∝ 1/TDD²</w:t>
            </w:r>
          </w:p>
        </w:tc>
      </w:tr>
    </w:tbl>
    <w:p>
      <w:pPr>
        <w:pStyle w:val="BodyText"/>
      </w:pPr>
      <w:r>
        <w:t xml:space="preserve">v2 uses</w:t>
      </w:r>
      <w:r>
        <w:t xml:space="preserve"> </w:t>
      </w:r>
      <w:r>
        <w:rPr>
          <w:rStyle w:val="VerbatimChar"/>
        </w:rPr>
        <w:t xml:space="preserve">ln(BG/divisor)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+1</w:t>
      </w:r>
      <w:r>
        <w:t xml:space="preserve">) in both the anchor and the glucose scaler, with glucose</w:t>
      </w:r>
      <w:r>
        <w:t xml:space="preserve"> </w:t>
      </w:r>
      <w:r>
        <w:t xml:space="preserve">floored at</w:t>
      </w:r>
      <w:r>
        <w:t xml:space="preserve"> </w:t>
      </w:r>
      <w:r>
        <w:rPr>
          <w:rStyle w:val="VerbatimChar"/>
        </w:rPr>
        <w:t xml:space="preserve">divisor+1</w:t>
      </w:r>
      <w:r>
        <w:t xml:space="preserve"> </w:t>
      </w:r>
      <w:r>
        <w:t xml:space="preserve">so the log stays positive. In long form, at target 99 mg/dL, divisor 75,</w:t>
      </w:r>
      <w:r>
        <w:t xml:space="preserve"> </w:t>
      </w:r>
      <w:r>
        <w:t xml:space="preserve">high cap 210:</w:t>
      </w:r>
    </w:p>
    <w:p>
      <w:pPr>
        <w:pStyle w:val="SourceCode"/>
      </w:pPr>
      <w:r>
        <w:rPr>
          <w:rStyle w:val="VerbatimChar"/>
        </w:rPr>
        <w:t xml:space="preserve">v1:   ISF(BG) = 1800   / ( TDD  · ln(BG_capped/75 + 1) )</w:t>
      </w:r>
      <w:r>
        <w:br/>
      </w:r>
      <w:r>
        <w:rPr>
          <w:rStyle w:val="VerbatimChar"/>
        </w:rPr>
        <w:t xml:space="preserve">v2:   ISF(BG) = 115000 / ( TDD² · ln(BG_floored/75) )       BG_floored = max(BG, 76)</w:t>
      </w:r>
    </w:p>
    <w:p>
      <w:pPr>
        <w:pStyle w:val="FirstParagraph"/>
      </w:pPr>
      <w:r>
        <w:t xml:space="preserve">The glucose terms are not the same (</w:t>
      </w:r>
      <w:r>
        <w:rPr>
          <w:rStyle w:val="VerbatimChar"/>
        </w:rPr>
        <w:t xml:space="preserve">ln(BG/75+1)</w:t>
      </w:r>
      <w:r>
        <w:t xml:space="preserve"> </w:t>
      </w:r>
      <w:r>
        <w:t xml:space="preserve">for v1,</w:t>
      </w:r>
      <w:r>
        <w:t xml:space="preserve"> </w:t>
      </w:r>
      <w:r>
        <w:rPr>
          <w:rStyle w:val="VerbatimChar"/>
        </w:rPr>
        <w:t xml:space="preserve">ln(BG/75)</w:t>
      </w:r>
      <w:r>
        <w:t xml:space="preserve"> </w:t>
      </w:r>
      <w:r>
        <w:t xml:space="preserve">for v2), so the ratio</w:t>
      </w:r>
      <w:r>
        <w:t xml:space="preserve"> </w:t>
      </w:r>
      <w:r>
        <w:t xml:space="preserve">between the two equations depends on glucose. It is largest at low glucose, where the v2 log</w:t>
      </w:r>
      <w:r>
        <w:t xml:space="preserve"> </w:t>
      </w:r>
      <w:r>
        <w:t xml:space="preserve">falls toward zero as BG approaches its floor, and shrinks to a small margin when glucose is</w:t>
      </w:r>
      <w:r>
        <w:t xml:space="preserve"> </w:t>
      </w:r>
      <w:r>
        <w:t xml:space="preserve">high. The cohort numbers for this are in §3.1.</w:t>
      </w:r>
    </w:p>
    <w:p>
      <w:r>
        <w:pict>
          <v:rect style="width:0;height:1.5pt" o:hralign="center" o:hrstd="t" o:hr="t"/>
        </w:pict>
      </w:r>
    </w:p>
    <w:bookmarkEnd w:id="10"/>
    <w:bookmarkStart w:id="11" w:name="method-in-brief"/>
    <w:p>
      <w:pPr>
        <w:pStyle w:val="Heading2"/>
      </w:pPr>
      <w:r>
        <w:t xml:space="preserve">2. Method in brief</w:t>
      </w:r>
    </w:p>
    <w:p>
      <w:pPr>
        <w:pStyle w:val="FirstParagraph"/>
      </w:pPr>
      <w:r>
        <w:t xml:space="preserve">For each person, every glucose reading was passed through both equations using the TDD their</w:t>
      </w:r>
      <w:r>
        <w:t xml:space="preserve"> </w:t>
      </w:r>
      <w:r>
        <w:t xml:space="preserve">device would have computed: device-logged TDD for Trio, and for AAPS and OpenAPS users a TDD</w:t>
      </w:r>
      <w:r>
        <w:t xml:space="preserve"> </w:t>
      </w:r>
      <w:r>
        <w:t xml:space="preserve">reconstructed from raw delivery records (boluses plus temp-basal segments over the profile</w:t>
      </w:r>
      <w:r>
        <w:t xml:space="preserve"> </w:t>
      </w:r>
      <w:r>
        <w:t xml:space="preserve">basal, on a 5-minute grid) through the same five-window blend. Relative timestamps were</w:t>
      </w:r>
      <w:r>
        <w:t xml:space="preserve"> </w:t>
      </w:r>
      <w:r>
        <w:t xml:space="preserve">re-anchored to absolute time and checked against recorded hour-of-day, with median join</w:t>
      </w:r>
      <w:r>
        <w:t xml:space="preserve"> </w:t>
      </w:r>
      <w:r>
        <w:t xml:space="preserve">coverage of 99.4%. The equation implementations carry 25 unit tests against hand-computed</w:t>
      </w:r>
      <w:r>
        <w:t xml:space="preserve"> </w:t>
      </w:r>
      <w:r>
        <w:t xml:space="preserve">fixtures, covering the v2 glucose floor, the glucose-dependent v1/v2 ratio, both branches of</w:t>
      </w:r>
      <w:r>
        <w:t xml:space="preserve"> </w:t>
      </w:r>
      <w:r>
        <w:t xml:space="preserve">the TDD blend, and the missing-data gates. The companion methodology paper has the full</w:t>
      </w:r>
      <w:r>
        <w:t xml:space="preserve"> </w:t>
      </w:r>
      <w:r>
        <w:t xml:space="preserve">pipeline.</w:t>
      </w:r>
    </w:p>
    <w:p>
      <w:pPr>
        <w:pStyle w:val="BodyText"/>
      </w:pPr>
      <w:r>
        <w:t xml:space="preserve">For 114 people we also have sensitivity calculated directly from their own data, by regressing</w:t>
      </w:r>
      <w:r>
        <w:t xml:space="preserve"> </w:t>
      </w:r>
      <w:r>
        <w:t xml:space="preserve">glucose change on insulin absorbed over fasting windows. That serves as the ground truth for</w:t>
      </w:r>
      <w:r>
        <w:t xml:space="preserve"> </w:t>
      </w:r>
      <w:r>
        <w:t xml:space="preserve">the TDD law.</w:t>
      </w:r>
    </w:p>
    <w:p>
      <w:r>
        <w:pict>
          <v:rect style="width:0;height:1.5pt" o:hralign="center" o:hrstd="t" o:hr="t"/>
        </w:pict>
      </w:r>
    </w:p>
    <w:bookmarkEnd w:id="11"/>
    <w:bookmarkStart w:id="30" w:name="results"/>
    <w:p>
      <w:pPr>
        <w:pStyle w:val="Heading2"/>
      </w:pPr>
      <w:r>
        <w:t xml:space="preserve">3. Results</w:t>
      </w:r>
    </w:p>
    <w:bookmarkStart w:id="15" w:name="the-v2v1-ratio-depends-on-glucose"/>
    <w:p>
      <w:pPr>
        <w:pStyle w:val="Heading3"/>
      </w:pPr>
      <w:r>
        <w:t xml:space="preserve">3.1 The v2/v1 ratio depends on glucose</w:t>
      </w:r>
    </w:p>
    <w:p>
      <w:pPr>
        <w:pStyle w:val="CaptionedFigure"/>
      </w:pPr>
      <w:r>
        <w:drawing>
          <wp:inline>
            <wp:extent cx="5334000" cy="2051538"/>
            <wp:effectExtent b="0" l="0" r="0" t="0"/>
            <wp:docPr descr="v2 vs v1: ratio vs glucose (left) and per-user ratio vs TDD (right)" title="" id="13" name="Picture"/>
            <a:graphic>
              <a:graphicData uri="http://schemas.openxmlformats.org/drawingml/2006/picture">
                <pic:pic>
                  <pic:nvPicPr>
                    <pic:cNvPr descr="charts/inv008/fig_v1_v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v2 vs v1: ratio vs glucose (left) and per-user ratio vs TDD (right)</w:t>
      </w:r>
    </w:p>
    <w:p>
      <w:pPr>
        <w:pStyle w:val="BodyText"/>
      </w:pPr>
      <w:r>
        <w:t xml:space="preserve">Median ISF_v2/ISF_v1 by glucose band (170 users, 9.5M readings):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glucose band</w:t>
            </w:r>
          </w:p>
        </w:tc>
        <w:tc>
          <w:tcPr/>
          <w:p>
            <w:pPr>
              <w:pStyle w:val="Compact"/>
            </w:pPr>
            <w:r>
              <w:t xml:space="preserve">median ISF_v2 / ISF_v1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40–80</w:t>
            </w:r>
          </w:p>
        </w:tc>
        <w:tc>
          <w:tcPr/>
          <w:p>
            <w:pPr>
              <w:pStyle w:val="Compact"/>
            </w:pPr>
            <w:r>
              <w:t xml:space="preserve">53×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80–100</w:t>
            </w:r>
          </w:p>
        </w:tc>
        <w:tc>
          <w:tcPr/>
          <w:p>
            <w:pPr>
              <w:pStyle w:val="Compact"/>
            </w:pPr>
            <w:r>
              <w:t xml:space="preserve">6.2×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100–120</w:t>
            </w:r>
          </w:p>
        </w:tc>
        <w:tc>
          <w:tcPr/>
          <w:p>
            <w:pPr>
              <w:pStyle w:val="Compact"/>
            </w:pPr>
            <w:r>
              <w:t xml:space="preserve">3.5×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120–150</w:t>
            </w:r>
          </w:p>
        </w:tc>
        <w:tc>
          <w:tcPr/>
          <w:p>
            <w:pPr>
              <w:pStyle w:val="Compact"/>
            </w:pPr>
            <w:r>
              <w:t xml:space="preserve">2.5×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150–200</w:t>
            </w:r>
          </w:p>
        </w:tc>
        <w:tc>
          <w:tcPr/>
          <w:p>
            <w:pPr>
              <w:pStyle w:val="Compact"/>
            </w:pPr>
            <w:r>
              <w:t xml:space="preserve">1.9×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200–360</w:t>
            </w:r>
          </w:p>
        </w:tc>
        <w:tc>
          <w:tcPr/>
          <w:p>
            <w:pPr>
              <w:pStyle w:val="Compact"/>
            </w:pPr>
            <w:r>
              <w:t xml:space="preserve">1.5×</w:t>
            </w:r>
          </w:p>
        </w:tc>
      </w:tr>
    </w:tbl>
    <w:p>
      <w:pPr>
        <w:pStyle w:val="BodyText"/>
      </w:pPr>
      <w:r>
        <w:t xml:space="preserve">v2 gives a higher ISF, meaning a weaker correction, on 92% of readings, a median of 3.0×. The</w:t>
      </w:r>
      <w:r>
        <w:t xml:space="preserve"> </w:t>
      </w:r>
      <w:r>
        <w:t xml:space="preserve">very high ISF below about 100 mg/dL (close to no correction at all) comes from the</w:t>
      </w:r>
      <w:r>
        <w:t xml:space="preserve"> </w:t>
      </w:r>
      <w:r>
        <w:rPr>
          <w:rStyle w:val="VerbatimChar"/>
        </w:rPr>
        <w:t xml:space="preserve">ln(BG/divisor)</w:t>
      </w:r>
      <w:r>
        <w:t xml:space="preserve"> </w:t>
      </w:r>
      <w:r>
        <w:t xml:space="preserve">term and the glucose floor, and amounts to strong hypo protection.</w:t>
      </w:r>
    </w:p>
    <w:bookmarkEnd w:id="15"/>
    <w:bookmarkStart w:id="19" w:name="X49e678d0841755b239b205ac0dda7a7a039832c"/>
    <w:p>
      <w:pPr>
        <w:pStyle w:val="Heading3"/>
      </w:pPr>
      <w:r>
        <w:t xml:space="preserve">3.2 Which TDD law does observed sensitivity follow?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Log-log ISF vs TDD: observed points, v1 slope −1, v2 slope −2, fitted slope −0.56" title="" id="17" name="Picture"/>
            <a:graphic>
              <a:graphicData uri="http://schemas.openxmlformats.org/drawingml/2006/picture">
                <pic:pic>
                  <pic:nvPicPr>
                    <pic:cNvPr descr="charts/inv008/fig_tdd_loglog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Log-log ISF vs TDD: observed points, v1 slope −1, v2 slope −2, fitted slope −0.56</w:t>
      </w:r>
    </w:p>
    <w:p>
      <w:pPr>
        <w:pStyle w:val="BodyText"/>
      </w:pPr>
      <w:r>
        <w:t xml:space="preserve">On a log-log plot v1 has slope −1 and v2 slope −2, while the calculated sensitivities follow a</w:t>
      </w:r>
      <w:r>
        <w:t xml:space="preserve"> </w:t>
      </w:r>
      <w:r>
        <w:t xml:space="preserve">fitted slope near −0.56: shallower than v1 and far from v2. Both equations over-steepen the</w:t>
      </w:r>
      <w:r>
        <w:t xml:space="preserve"> </w:t>
      </w:r>
      <w:r>
        <w:t xml:space="preserve">TDD dependence, and v2, with twice the log-space slope, does so twice as hard. The choice of</w:t>
      </w:r>
      <w:r>
        <w:t xml:space="preserve"> </w:t>
      </w:r>
      <w:r>
        <w:t xml:space="preserve">glucose term has no bearing on this; the TDD exponent is still −2.</w:t>
      </w:r>
    </w:p>
    <w:bookmarkEnd w:id="19"/>
    <w:bookmarkStart w:id="20" w:name="X08a23fabf58495344c7f4c87958e26beb2c225b"/>
    <w:p>
      <w:pPr>
        <w:pStyle w:val="Heading3"/>
      </w:pPr>
      <w:r>
        <w:t xml:space="preserve">3.3 Agreement with calculated sensitivity (and tuned profiles)</w:t>
      </w:r>
    </w:p>
    <w:p>
      <w:pPr>
        <w:pStyle w:val="FirstParagraph"/>
      </w:pPr>
      <w:r>
        <w:t xml:space="preserve">Scoring each form as a between-person ISF predictor under leave-one-user-out cross-validation,</w:t>
      </w:r>
      <w:r>
        <w:t xml:space="preserve"> </w:t>
      </w:r>
      <w:r>
        <w:t xml:space="preserve">against measured sensitivity (n=114) and tuned-profile ISF (n=138):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median |err| vs measured</w:t>
            </w:r>
          </w:p>
        </w:tc>
        <w:tc>
          <w:tcPr/>
          <w:p>
            <w:pPr>
              <w:pStyle w:val="Compact"/>
            </w:pPr>
            <w:r>
              <w:t xml:space="preserve">log-err</w:t>
            </w:r>
          </w:p>
        </w:tc>
        <w:tc>
          <w:tcPr/>
          <w:p>
            <w:pPr>
              <w:pStyle w:val="Compact"/>
            </w:pPr>
            <w:r>
              <w:t xml:space="preserve">within ±30%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K/√TDD (v-next)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1700-rule</w:t>
            </w:r>
          </w:p>
        </w:tc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(TDD⁻¹)</w:t>
            </w:r>
          </w:p>
        </w:tc>
        <w:tc>
          <w:tcPr/>
          <w:p>
            <w:pPr>
              <w:pStyle w:val="Compact"/>
            </w:pPr>
            <w:r>
              <w:t xml:space="preserve">26.0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(TDD⁻²)</w:t>
            </w:r>
          </w:p>
        </w:tc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2.32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</w:tr>
    </w:tbl>
    <w:p>
      <w:pPr>
        <w:pStyle w:val="BodyText"/>
      </w:pPr>
      <w:r>
        <w:t xml:space="preserve">v2 is the worst between-person predictor by a wide margin. On top of the over-steep TDD</w:t>
      </w:r>
      <w:r>
        <w:t xml:space="preserve"> </w:t>
      </w:r>
      <w:r>
        <w:t xml:space="preserve">exponent, its level sits far above observed sensitivity. The ranking holds against tuned</w:t>
      </w:r>
      <w:r>
        <w:t xml:space="preserve"> </w:t>
      </w:r>
      <w:r>
        <w:t xml:space="preserve">profiles too (v2 median error around 124 against 12.8 for √TDD).</w:t>
      </w:r>
    </w:p>
    <w:bookmarkEnd w:id="20"/>
    <w:bookmarkStart w:id="21" w:name="X6a5be0725ca82f3dc1c44b5ffd892f932c400c8"/>
    <w:p>
      <w:pPr>
        <w:pStyle w:val="Heading3"/>
      </w:pPr>
      <w:r>
        <w:t xml:space="preserve">3.4 Implementation validation against device-calculated ISF</w:t>
      </w:r>
    </w:p>
    <w:p>
      <w:pPr>
        <w:pStyle w:val="FirstParagraph"/>
      </w:pPr>
      <w:r>
        <w:t xml:space="preserve">The v1 implementation reproduces what devices actually computed. For the nine Trio users on the</w:t>
      </w:r>
      <w:r>
        <w:t xml:space="preserve"> </w:t>
      </w:r>
      <w:r>
        <w:t xml:space="preserve">logarithmic form, replayed v1 tracks the device’s logged ISF with stable per-person offsets</w:t>
      </w:r>
      <w:r>
        <w:t xml:space="preserve"> </w:t>
      </w:r>
      <w:r>
        <w:t xml:space="preserve">(median per-reading log-correlation 0.60, ratio IQR 0.29), the offsets reflecting the</w:t>
      </w:r>
      <w:r>
        <w:t xml:space="preserve"> </w:t>
      </w:r>
      <w:r>
        <w:t xml:space="preserve">unmodelled adjustment factor, divisor and autosens. Four users had switched the units of their</w:t>
      </w:r>
      <w:r>
        <w:t xml:space="preserve"> </w:t>
      </w:r>
      <w:r>
        <w:t xml:space="preserve">logged ISF mid-history, and a per-reading correction resolves all four.</w:t>
      </w:r>
    </w:p>
    <w:bookmarkEnd w:id="21"/>
    <w:bookmarkStart w:id="25" w:name="per-person-view"/>
    <w:p>
      <w:pPr>
        <w:pStyle w:val="Heading3"/>
      </w:pPr>
      <w:r>
        <w:t xml:space="preserve">3.5 Per-person view</w:t>
      </w:r>
    </w:p>
    <w:p>
      <w:pPr>
        <w:pStyle w:val="CaptionedFigure"/>
      </w:pPr>
      <w:r>
        <w:drawing>
          <wp:inline>
            <wp:extent cx="5334000" cy="1533525"/>
            <wp:effectExtent b="0" l="0" r="0" t="0"/>
            <wp:docPr descr="Example per-person page" title="" id="23" name="Picture"/>
            <a:graphic>
              <a:graphicData uri="http://schemas.openxmlformats.org/drawingml/2006/picture">
                <pic:pic>
                  <pic:nvPicPr>
                    <pic:cNvPr descr="charts/inv008/users/U07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 per-person page</w:t>
      </w:r>
    </w:p>
    <w:p>
      <w:pPr>
        <w:pStyle w:val="BodyText"/>
      </w:pPr>
      <w:r>
        <w:t xml:space="preserve">A page like this exists for each of the 170 people: the ISF–glucose curves at their TDD, a</w:t>
      </w:r>
      <w:r>
        <w:t xml:space="preserve"> </w:t>
      </w:r>
      <w:r>
        <w:t xml:space="preserve">two-week sample of dynamic-ISF traces over real glucose, and the per-reading ratio.</w:t>
      </w:r>
    </w:p>
    <w:bookmarkEnd w:id="25"/>
    <w:bookmarkStart w:id="29" w:name="X1277dd1d07b6088979cc6bcd691c17144eaef1b"/>
    <w:p>
      <w:pPr>
        <w:pStyle w:val="Heading3"/>
      </w:pPr>
      <w:r>
        <w:t xml:space="preserve">3.6 Same-window outcome test: which ISF predicts the realised drop?</w:t>
      </w:r>
    </w:p>
    <w:p>
      <w:pPr>
        <w:pStyle w:val="FirstParagraph"/>
      </w:pPr>
      <w:r>
        <w:t xml:space="preserve">The results above compare the ISF each equation</w:t>
      </w:r>
      <w:r>
        <w:t xml:space="preserve"> </w:t>
      </w:r>
      <w:r>
        <w:rPr>
          <w:i/>
          <w:iCs/>
        </w:rPr>
        <w:t xml:space="preserve">would have computed</w:t>
      </w:r>
      <w:r>
        <w:t xml:space="preserve">. A separate test asks</w:t>
      </w:r>
      <w:r>
        <w:t xml:space="preserve"> </w:t>
      </w:r>
      <w:r>
        <w:t xml:space="preserve">which ISF best predicts the glucose drop that</w:t>
      </w:r>
      <w:r>
        <w:t xml:space="preserve"> </w:t>
      </w:r>
      <w:r>
        <w:rPr>
          <w:i/>
          <w:iCs/>
        </w:rPr>
        <w:t xml:space="preserve">actually happened</w:t>
      </w:r>
      <w:r>
        <w:t xml:space="preserve">. The loop’s IOB-based glucose</w:t>
      </w:r>
      <w:r>
        <w:t xml:space="preserve"> </w:t>
      </w:r>
      <w:r>
        <w:t xml:space="preserve">prediction is linear in ISF — predicted drop = ISF × an activity integral that does not depend</w:t>
      </w:r>
      <w:r>
        <w:t xml:space="preserve"> </w:t>
      </w:r>
      <w:r>
        <w:t xml:space="preserve">on ISF — so on any window we can take the loop’s own prediction (made with the ISF it ran) and</w:t>
      </w:r>
      <w:r>
        <w:t xml:space="preserve"> </w:t>
      </w:r>
      <w:r>
        <w:t xml:space="preserve">rescale it to any candidate ISF, then compare to the observed end glucose. Every ISF form is</w:t>
      </w:r>
      <w:r>
        <w:t xml:space="preserve"> </w:t>
      </w:r>
      <w:r>
        <w:t xml:space="preserve">tested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window, which removes the between-person confound that the cross-validation</w:t>
      </w:r>
      <w:r>
        <w:t xml:space="preserve"> </w:t>
      </w:r>
      <w:r>
        <w:t xml:space="preserve">in §3.3 cannot: each person’s outcomes only ever score their own equation there, whereas here</w:t>
      </w:r>
      <w:r>
        <w:t xml:space="preserve"> </w:t>
      </w:r>
      <w:r>
        <w:t xml:space="preserve">all four forms are scored on one shared set of windows.</w:t>
      </w:r>
    </w:p>
    <w:p>
      <w:pPr>
        <w:pStyle w:val="BodyText"/>
      </w:pPr>
      <w:r>
        <w:t xml:space="preserve">Over 62,751 overnight, carbohydrate-screened, four-hour windows from 89 people (v1’s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makes</w:t>
      </w:r>
      <w:r>
        <w:t xml:space="preserve"> </w:t>
      </w:r>
      <w:r>
        <w:t xml:space="preserve">its prediction well defined throughout; AAPS users excluded for the same TDD-reconciliation</w:t>
      </w:r>
      <w:r>
        <w:t xml:space="preserve"> </w:t>
      </w:r>
      <w:r>
        <w:t xml:space="preserve">reason as elsewhere), scoring error as observed end glucose minus predicted end glucose:</w:t>
      </w:r>
    </w:p>
    <w:p>
      <w:pPr>
        <w:pStyle w:val="CaptionedFigure"/>
      </w:pPr>
      <w:r>
        <w:drawing>
          <wp:inline>
            <wp:extent cx="5334000" cy="2051538"/>
            <wp:effectExtent b="0" l="0" r="0" t="0"/>
            <wp:docPr descr="Prediction error by ISF form (left) and bias vs glucose (right)" title="" id="27" name="Picture"/>
            <a:graphic>
              <a:graphicData uri="http://schemas.openxmlformats.org/drawingml/2006/picture">
                <pic:pic>
                  <pic:nvPicPr>
                    <pic:cNvPr descr="charts/inv008/fig_head_to_hea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Prediction error by ISF form (left) and bias vs glucose (right)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ISF form</w:t>
            </w:r>
          </w:p>
        </w:tc>
        <w:tc>
          <w:tcPr/>
          <w:p>
            <w:pPr>
              <w:pStyle w:val="Compact"/>
            </w:pPr>
            <w:r>
              <w:t xml:space="preserve">median |error| (mg/dL)</w:t>
            </w:r>
          </w:p>
        </w:tc>
        <w:tc>
          <w:tcPr/>
          <w:p>
            <w:pPr>
              <w:pStyle w:val="Compact"/>
            </w:pPr>
            <w:r>
              <w:t xml:space="preserve">bias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(what ran)</w:t>
            </w:r>
          </w:p>
        </w:tc>
        <w:tc>
          <w:tcPr/>
          <w:p>
            <w:pPr>
              <w:pStyle w:val="Compact"/>
            </w:pPr>
            <w:r>
              <w:t xml:space="preserve">18.6</w:t>
            </w:r>
          </w:p>
        </w:tc>
        <w:tc>
          <w:tcPr/>
          <w:p>
            <w:pPr>
              <w:pStyle w:val="Compact"/>
            </w:pPr>
            <w:r>
              <w:t xml:space="preserve">+7.4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(tuned profile ISF)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+6.6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(TDD⁻¹)</w:t>
            </w:r>
          </w:p>
        </w:tc>
        <w:tc>
          <w:tcPr/>
          <w:p>
            <w:pPr>
              <w:pStyle w:val="Compact"/>
            </w:pPr>
            <w:r>
              <w:t xml:space="preserve">24.6</w:t>
            </w:r>
          </w:p>
        </w:tc>
        <w:tc>
          <w:tcPr/>
          <w:p>
            <w:pPr>
              <w:pStyle w:val="Compact"/>
            </w:pPr>
            <w:r>
              <w:t xml:space="preserve">−10.4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(TDD⁻²)</w:t>
            </w:r>
          </w:p>
        </w:tc>
        <w:tc>
          <w:tcPr/>
          <w:p>
            <w:pPr>
              <w:pStyle w:val="Compact"/>
            </w:pPr>
            <w:r>
              <w:t xml:space="preserve">49.7</w:t>
            </w:r>
          </w:p>
        </w:tc>
        <w:tc>
          <w:tcPr/>
          <w:p>
            <w:pPr>
              <w:pStyle w:val="Compact"/>
            </w:pPr>
            <w:r>
              <w:t xml:space="preserve">+25.2</w:t>
            </w:r>
          </w:p>
        </w:tc>
      </w:tr>
    </w:tbl>
    <w:p>
      <w:pPr>
        <w:pStyle w:val="BodyText"/>
      </w:pPr>
      <w:r>
        <w:t xml:space="preserve">The person’s tuned static ISF is within 1.7 mg/dL of the loop’s own calibrated ISF and beats</w:t>
      </w:r>
      <w:r>
        <w:t xml:space="preserve"> </w:t>
      </w:r>
      <w:r>
        <w:t xml:space="preserve">either dynamic equation; v2 is more than twice as far off as static. Counting which form is the</w:t>
      </w:r>
      <w:r>
        <w:t xml:space="preserve"> </w:t>
      </w:r>
      <w:r>
        <w:t xml:space="preserve">single best predictor per person (80 people with enough windows), the loop wins for 35, static</w:t>
      </w:r>
      <w:r>
        <w:t xml:space="preserve"> </w:t>
      </w:r>
      <w:r>
        <w:t xml:space="preserve">for 24, v1 for 17 and v2 for only 4.</w:t>
      </w:r>
    </w:p>
    <w:p>
      <w:pPr>
        <w:pStyle w:val="BodyText"/>
      </w:pPr>
      <w:r>
        <w:t xml:space="preserve">The bias-by-glucose panel shows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dynamic forms lose. v1’s error is strongly</w:t>
      </w:r>
      <w:r>
        <w:t xml:space="preserve"> </w:t>
      </w:r>
      <w:r>
        <w:t xml:space="preserve">glucose-dependent — it over-predicts the drop at low glucose (+14.9 mg/dL in the 80–100 band)</w:t>
      </w:r>
      <w:r>
        <w:t xml:space="preserve"> </w:t>
      </w:r>
      <w:r>
        <w:t xml:space="preserve">and badly under-predicts it when high (−33.2 in the 175–230 band) — which is the 1/TDD curve</w:t>
      </w:r>
      <w:r>
        <w:t xml:space="preserve"> </w:t>
      </w:r>
      <w:r>
        <w:t xml:space="preserve">coupling sensitivity too tightly to glucose. v2 over-predicts the drop almost everywhere (its</w:t>
      </w:r>
      <w:r>
        <w:t xml:space="preserve"> </w:t>
      </w:r>
      <w:r>
        <w:t xml:space="preserve">correction is too weak), worst at low glucose. A near-constant static ISF carries no such</w:t>
      </w:r>
      <w:r>
        <w:t xml:space="preserve"> </w:t>
      </w:r>
      <w:r>
        <w:t xml:space="preserve">glucose-linked error.</w:t>
      </w:r>
    </w:p>
    <w:p>
      <w:pPr>
        <w:pStyle w:val="BodyText"/>
      </w:pPr>
      <w:r>
        <w:t xml:space="preserve">This is the outcome-anchored counterpart to §3.2–3.3 and reaches the same conclusion from the</w:t>
      </w:r>
      <w:r>
        <w:t xml:space="preserve"> </w:t>
      </w:r>
      <w:r>
        <w:t xml:space="preserve">other direction: a well-tuned static level is hard to beat, both dynamic equations are worse,</w:t>
      </w:r>
      <w:r>
        <w:t xml:space="preserve"> </w:t>
      </w:r>
      <w:r>
        <w:t xml:space="preserve">and v2 is worst.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eading-the-result"/>
    <w:p>
      <w:pPr>
        <w:pStyle w:val="Heading2"/>
      </w:pPr>
      <w:r>
        <w:t xml:space="preserve">4. Reading the result</w:t>
      </w:r>
    </w:p>
    <w:p>
      <w:pPr>
        <w:pStyle w:val="FirstParagraph"/>
      </w:pPr>
      <w:r>
        <w:t xml:space="preserve">v2’s glucose behaviour is defensible. More ISF, and so less insulin, at low glucose is the hypo</w:t>
      </w:r>
      <w:r>
        <w:t xml:space="preserve"> </w:t>
      </w:r>
      <w:r>
        <w:t xml:space="preserve">protection a correction curve should provide, and it lines up with the glucose-dependent ISF</w:t>
      </w:r>
      <w:r>
        <w:t xml:space="preserve"> </w:t>
      </w:r>
      <w:r>
        <w:t xml:space="preserve">seen in the Diabeloop and power-law work. Two problems remain.</w:t>
      </w:r>
    </w:p>
    <w:p>
      <w:pPr>
        <w:pStyle w:val="BodyText"/>
      </w:pPr>
      <w:r>
        <w:t xml:space="preserve">The TDD exponent is too steep, −2 against an observed −0.5, which makes v2 the worst-fitting</w:t>
      </w:r>
      <w:r>
        <w:t xml:space="preserve"> </w:t>
      </w:r>
      <w:r>
        <w:t xml:space="preserve">between-person predictor of any form tested. And the overall level is about 3× too high, so</w:t>
      </w:r>
      <w:r>
        <w:t xml:space="preserve"> </w:t>
      </w:r>
      <w:r>
        <w:t xml:space="preserve">corrections come out weak across the board: not only for the lighter-dosing majority but at</w:t>
      </w:r>
      <w:r>
        <w:t xml:space="preserve"> </w:t>
      </w:r>
      <w:r>
        <w:t xml:space="preserve">high glucose too, where v2 is still around 1.5× gentler than v1 above 200 mg/dL and more</w:t>
      </w:r>
      <w:r>
        <w:t xml:space="preserve"> </w:t>
      </w:r>
      <w:r>
        <w:t xml:space="preserve">aggression is usually wanted.</w:t>
      </w:r>
    </w:p>
    <w:p>
      <w:pPr>
        <w:pStyle w:val="BodyText"/>
      </w:pPr>
      <w:r>
        <w:t xml:space="preserve">So v2 offers good hypo protection but its TDD scaling and level are wrong. The better TDD law is</w:t>
      </w:r>
      <w:r>
        <w:t xml:space="preserve"> </w:t>
      </w:r>
      <w:r>
        <w:t xml:space="preserve">a √TDD level set per person from their own data — the direction the cross-validation supports</w:t>
      </w:r>
      <w:r>
        <w:t xml:space="preserve"> </w:t>
      </w:r>
      <w:r>
        <w:t xml:space="preserve">(§3.3) — keeping v2’s useful low-glucose protection without its steep TDD exponent or high level.</w:t>
      </w:r>
    </w:p>
    <w:p>
      <w:r>
        <w:pict>
          <v:rect style="width:0;height:1.5pt" o:hralign="center" o:hrstd="t" o:hr="t"/>
        </w:pict>
      </w:r>
    </w:p>
    <w:bookmarkEnd w:id="31"/>
    <w:bookmarkStart w:id="32" w:name="caveats"/>
    <w:p>
      <w:pPr>
        <w:pStyle w:val="Heading2"/>
      </w:pPr>
      <w:r>
        <w:t xml:space="preserve">5. Caveats</w:t>
      </w:r>
    </w:p>
    <w:p>
      <w:pPr>
        <w:pStyle w:val="Compact"/>
        <w:numPr>
          <w:ilvl w:val="0"/>
          <w:numId w:val="1001"/>
        </w:numPr>
      </w:pPr>
      <w:r>
        <w:t xml:space="preserve">Counterfactual replay: the main comparison (§3.1–3.5) is of the ISF each equation would have</w:t>
      </w:r>
      <w:r>
        <w:t xml:space="preserve"> </w:t>
      </w:r>
      <w:r>
        <w:t xml:space="preserve">computed, not closed-loop outcomes. The same-window test in §3.6 partly addresses this by</w:t>
      </w:r>
      <w:r>
        <w:t xml:space="preserve"> </w:t>
      </w:r>
      <w:r>
        <w:t xml:space="preserve">scoring each ISF against the realised glucose drop, but it still rescales the loop’s own</w:t>
      </w:r>
      <w:r>
        <w:t xml:space="preserve"> </w:t>
      </w:r>
      <w:r>
        <w:t xml:space="preserve">linear prediction rather than re-running the controller, so second-order effects (changed</w:t>
      </w:r>
      <w:r>
        <w:t xml:space="preserve"> </w:t>
      </w:r>
      <w:r>
        <w:t xml:space="preserve">insulin delivery feeding back into later IOB and glucose) are not captured.</w:t>
      </w:r>
    </w:p>
    <w:p>
      <w:pPr>
        <w:pStyle w:val="Compact"/>
        <w:numPr>
          <w:ilvl w:val="0"/>
          <w:numId w:val="1001"/>
        </w:numPr>
      </w:pPr>
      <w:r>
        <w:t xml:space="preserve">Basal approximation: AAPS exports lack temp-basal records, so basal TDD for those 39 users</w:t>
      </w:r>
      <w:r>
        <w:t xml:space="preserve"> </w:t>
      </w:r>
      <w:r>
        <w:t xml:space="preserve">uses the profile schedule.</w:t>
      </w:r>
    </w:p>
    <w:p>
      <w:pPr>
        <w:pStyle w:val="Compact"/>
        <w:numPr>
          <w:ilvl w:val="0"/>
          <w:numId w:val="1001"/>
        </w:numPr>
      </w:pPr>
      <w:r>
        <w:t xml:space="preserve">The calculated-sensitivity benchmark is per-person and may be biased low by unrecorded</w:t>
      </w:r>
      <w:r>
        <w:t xml:space="preserve"> </w:t>
      </w:r>
      <w:r>
        <w:t xml:space="preserve">carbohydrate or endogenous-glucose effects; it tests the between-person TDD law.</w:t>
      </w:r>
    </w:p>
    <w:p>
      <w:pPr>
        <w:pStyle w:val="Compact"/>
        <w:numPr>
          <w:ilvl w:val="0"/>
          <w:numId w:val="1001"/>
        </w:numPr>
      </w:pPr>
      <w:r>
        <w:t xml:space="preserve">Single cohort: open-source AID users, mostly 2016–2023, with n = 114/138 for the</w:t>
      </w:r>
      <w:r>
        <w:t xml:space="preserve"> </w:t>
      </w:r>
      <w:r>
        <w:t xml:space="preserve">calculated-sensitivity analyses.</w:t>
      </w:r>
    </w:p>
    <w:p>
      <w:r>
        <w:pict>
          <v:rect style="width:0;height:1.5pt" o:hralign="center" o:hrstd="t" o:hr="t"/>
        </w:pict>
      </w:r>
    </w:p>
    <w:bookmarkEnd w:id="32"/>
    <w:bookmarkStart w:id="33" w:name="reproducibility"/>
    <w:p>
      <w:pPr>
        <w:pStyle w:val="Heading2"/>
      </w:pPr>
      <w:r>
        <w:t xml:space="preserve">Reproducibility</w:t>
      </w:r>
    </w:p>
    <w:p>
      <w:pPr>
        <w:pStyle w:val="Compact"/>
        <w:numPr>
          <w:ilvl w:val="0"/>
          <w:numId w:val="1002"/>
        </w:numPr>
      </w:pPr>
      <w:r>
        <w:t xml:space="preserve">Implementation and tests:</w:t>
      </w:r>
      <w:r>
        <w:t xml:space="preserve"> </w:t>
      </w:r>
      <w:r>
        <w:rPr>
          <w:rStyle w:val="VerbatimChar"/>
        </w:rPr>
        <w:t xml:space="preserve">inv008/dynisf.py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inv008/tests/</w:t>
      </w:r>
    </w:p>
    <w:p>
      <w:pPr>
        <w:pStyle w:val="Compact"/>
        <w:numPr>
          <w:ilvl w:val="0"/>
          <w:numId w:val="1002"/>
        </w:numPr>
      </w:pPr>
      <w:r>
        <w:t xml:space="preserve">v1 vs v2 comparison:</w:t>
      </w:r>
      <w:r>
        <w:t xml:space="preserve"> </w:t>
      </w:r>
      <w:r>
        <w:rPr>
          <w:rStyle w:val="VerbatimChar"/>
        </w:rPr>
        <w:t xml:space="preserve">inv008/compare_v1_v2.py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results/v1_v2_comparison.*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charts/inv008/fig_v1_v2.png</w:t>
      </w:r>
    </w:p>
    <w:p>
      <w:pPr>
        <w:pStyle w:val="Compact"/>
        <w:numPr>
          <w:ilvl w:val="0"/>
          <w:numId w:val="1002"/>
        </w:numPr>
      </w:pPr>
      <w:r>
        <w:t xml:space="preserve">Same-window outcome test:</w:t>
      </w:r>
      <w:r>
        <w:t xml:space="preserve"> </w:t>
      </w:r>
      <w:r>
        <w:rPr>
          <w:rStyle w:val="VerbatimChar"/>
        </w:rPr>
        <w:t xml:space="preserve">inv008/head_to_head.py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results/head_to_head.{json,md}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results/head_to_head_windows.parquet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charts/inv008/fig_head_to_head.png</w:t>
      </w:r>
    </w:p>
    <w:p>
      <w:pPr>
        <w:pStyle w:val="Compact"/>
        <w:numPr>
          <w:ilvl w:val="0"/>
          <w:numId w:val="1002"/>
        </w:numPr>
      </w:pPr>
      <w:r>
        <w:t xml:space="preserve">Pipeline and candidate search:</w:t>
      </w:r>
      <w:r>
        <w:t xml:space="preserve"> </w:t>
      </w:r>
      <w:r>
        <w:rPr>
          <w:rStyle w:val="VerbatimChar"/>
        </w:rPr>
        <w:t xml:space="preserve">inv008/</w:t>
      </w:r>
      <w:r>
        <w:t xml:space="preserve">,</w:t>
      </w:r>
      <w:r>
        <w:t xml:space="preserve"> </w:t>
      </w:r>
      <w:r>
        <w:rPr>
          <w:rStyle w:val="VerbatimChar"/>
        </w:rPr>
        <w:t xml:space="preserve">fit_best_isf.py</w:t>
      </w:r>
    </w:p>
    <w:p>
      <w:pPr>
        <w:pStyle w:val="Compact"/>
        <w:numPr>
          <w:ilvl w:val="0"/>
          <w:numId w:val="1002"/>
        </w:numPr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github.com/tim2000s/dynamic-isf-calculations</w:t>
      </w:r>
    </w:p>
    <w:bookmarkEnd w:id="33"/>
    <w:bookmarkStart w:id="34" w:name="addendum-27-august-2026"/>
    <w:p>
      <w:pPr>
        <w:pStyle w:val="Heading2"/>
      </w:pPr>
      <w:r>
        <w:t xml:space="preserve">Addendum, 27 August 2026</w:t>
      </w:r>
    </w:p>
    <w:p>
      <w:pPr>
        <w:pStyle w:val="FirstParagraph"/>
      </w:pPr>
      <w:r>
        <w:t xml:space="preserve">The observation here that the equations sit above where observed sensitivity lies</w:t>
      </w:r>
      <w:r>
        <w:t xml:space="preserve"> </w:t>
      </w:r>
      <w:r>
        <w:t xml:space="preserve">has been tested across 1,679 people in six Jaeb trial cohorts. How far below</w:t>
      </w:r>
      <w:r>
        <w:t xml:space="preserve"> </w:t>
      </w:r>
      <w:r>
        <w:t xml:space="preserve">depends on construction more than on cohort: dividing the fall by insulin on board</w:t>
      </w:r>
      <w:r>
        <w:t xml:space="preserve"> </w:t>
      </w:r>
      <w:r>
        <w:t xml:space="preserve">at the start gives 0.72 to 1.12, and dividing by the action of all insulin above</w:t>
      </w:r>
      <w:r>
        <w:t xml:space="preserve"> </w:t>
      </w:r>
      <w:r>
        <w:t xml:space="preserve">the programmed basal gives 0.30 to 0.66, on the same records. The gap is therefore</w:t>
      </w:r>
      <w:r>
        <w:t xml:space="preserve"> </w:t>
      </w:r>
      <w:r>
        <w:t xml:space="preserve">a property of the measurement as much as of the person, and a published</w:t>
      </w:r>
      <w:r>
        <w:t xml:space="preserve"> </w:t>
      </w:r>
      <w:r>
        <w:t xml:space="preserve">observational sensitivity means little without its denominator stated. See</w:t>
      </w:r>
      <w:r>
        <w:t xml:space="preserve"> </w:t>
      </w:r>
      <w:r>
        <w:t xml:space="preserve">Dynamic-ISF-7.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16" Target="media/rId16.png" /><Relationship Type="http://schemas.openxmlformats.org/officeDocument/2006/relationships/image" Id="rId12" Target="media/rId12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2026-08-28T08:39:33Z</dcterms:created>
  <dcterms:modified xsi:type="dcterms:W3CDTF">2026-08-28T08:39:33Z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