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OREF-INV-010: autosens against a real device</w:t>
      </w:r>
    </w:p>
    <w:p>
      <w:pPr>
        <w:pStyle w:val="Subtitle"/>
      </w:pPr>
      <w:r>
        <w:t xml:space="preserve">Three phases run on the Boost cohort, and what the first one costs</w:t>
      </w:r>
    </w:p>
    <w:p>
      <w:pPr>
        <w:pStyle w:val="Author"/>
      </w:pPr>
      <w:r>
        <w:t xml:space="preserve">Tim Street</w:t>
      </w:r>
    </w:p>
    <w:p>
      <w:pPr>
        <w:pStyle w:val="Date"/>
      </w:pPr>
      <w:r>
        <w:t xml:space="preserve">26 August 2026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Phase one was the gate. The autosens reconstruction built for INV-009 does not</w:t>
      </w:r>
      <w:r>
        <w:t xml:space="preserve"> </w:t>
      </w:r>
      <w:r>
        <w:t xml:space="preserve">track what a device actually computed, so the detector comparison in that work</w:t>
      </w:r>
      <w:r>
        <w:t xml:space="preserve"> </w:t>
      </w:r>
      <w:r>
        <w:t xml:space="preserve">should not be relied on. That comparison never reached the published paper or its</w:t>
      </w:r>
      <w:r>
        <w:t xml:space="preserve"> </w:t>
      </w:r>
      <w:r>
        <w:t xml:space="preserve">summary, so nothing needs retracting, but the conclusion it reached about</w:t>
      </w:r>
      <w:r>
        <w:t xml:space="preserve"> </w:t>
      </w:r>
      <w:r>
        <w:t xml:space="preserve">widening the autosens clamp does not stand.</w:t>
      </w:r>
    </w:p>
    <w:p>
      <w:pPr>
        <w:pStyle w:val="BodyText"/>
      </w:pPr>
      <w:r>
        <w:t xml:space="preserve">Phases two and three use only values the device wrote down, so they hold whatever</w:t>
      </w:r>
      <w:r>
        <w:t xml:space="preserve"> </w:t>
      </w:r>
      <w:r>
        <w:t xml:space="preserve">the reconstruction does. Both produced findings worth reporting.</w:t>
      </w:r>
    </w:p>
    <w:p>
      <w:pPr>
        <w:pStyle w:val="BodyText"/>
      </w:pPr>
      <w:r>
        <w:t xml:space="preserve">Four of the ten users show a ratio that never varies from 1.000, and Boost’s own</w:t>
      </w:r>
      <w:r>
        <w:t xml:space="preserve"> </w:t>
      </w:r>
      <w:r>
        <w:t xml:space="preserve">guidance is to switch autosens off, so those are switched off rather than finding</w:t>
      </w:r>
      <w:r>
        <w:t xml:space="preserve"> </w:t>
      </w:r>
      <w:r>
        <w:t xml:space="preserve">nothing. Among the six where the computation is demonstrably live, autosens is</w:t>
      </w:r>
      <w:r>
        <w:t xml:space="preserve"> </w:t>
      </w:r>
      <w:r>
        <w:t xml:space="preserve">neutral for a median of 39% of decisions rather than the 90% a naive average</w:t>
      </w:r>
      <w:r>
        <w:t xml:space="preserve"> </w:t>
      </w:r>
      <w:r>
        <w:t xml:space="preserve">across all ten gives.</w:t>
      </w:r>
    </w:p>
    <w:p>
      <w:pPr>
        <w:pStyle w:val="BodyText"/>
      </w:pPr>
      <w:r>
        <w:t xml:space="preserve">Where it does move, it agrees only weakly with the dose-derived ratio Boost</w:t>
      </w:r>
      <w:r>
        <w:t xml:space="preserve"> </w:t>
      </w:r>
      <w:r>
        <w:t xml:space="preserve">applies alongside it, and when both are away from neutral they point in opposite</w:t>
      </w:r>
      <w:r>
        <w:t xml:space="preserve"> </w:t>
      </w:r>
      <w:r>
        <w:t xml:space="preserve">directions a third of the time.</w:t>
      </w:r>
    </w:p>
    <w:bookmarkEnd w:id="9"/>
    <w:bookmarkStart w:id="10" w:name="a-correction-to-the-scope"/>
    <w:p>
      <w:pPr>
        <w:pStyle w:val="Heading2"/>
      </w:pPr>
      <w:r>
        <w:t xml:space="preserve">A correction to the scope</w:t>
      </w:r>
    </w:p>
    <w:p>
      <w:pPr>
        <w:pStyle w:val="FirstParagraph"/>
      </w:pPr>
      <w:r>
        <w:t xml:space="preserve">The scoping note reported saturation rates of 47.7% and 50.7% at the ceiling for</w:t>
      </w:r>
      <w:r>
        <w:t xml:space="preserve"> </w:t>
      </w:r>
      <w:r>
        <w:t xml:space="preserve">two users. Those figures came from</w:t>
      </w:r>
      <w:r>
        <w:t xml:space="preserve"> </w:t>
      </w:r>
      <w:r>
        <w:rPr>
          <w:rStyle w:val="VerbatimChar"/>
        </w:rPr>
        <w:t xml:space="preserve">sensitivityRatio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boostAutosens_mode</w:t>
      </w:r>
      <w:r>
        <w:t xml:space="preserve"> </w:t>
      </w:r>
      <w:r>
        <w:t xml:space="preserve">reads</w:t>
      </w:r>
      <w:r>
        <w:t xml:space="preserve"> </w:t>
      </w:r>
      <w:r>
        <w:t xml:space="preserve">‘tdd’</w:t>
      </w:r>
      <w:r>
        <w:t xml:space="preserve"> </w:t>
      </w:r>
      <w:r>
        <w:t xml:space="preserve">for every user here, so that field is Boost’s</w:t>
      </w:r>
      <w:r>
        <w:t xml:space="preserve"> </w:t>
      </w:r>
      <w:r>
        <w:t xml:space="preserve">own dose-derived ratio rather than autosens. The oref autosens value sits in</w:t>
      </w:r>
      <w:r>
        <w:t xml:space="preserve"> </w:t>
      </w:r>
      <w:r>
        <w:rPr>
          <w:rStyle w:val="VerbatimChar"/>
        </w:rPr>
        <w:t xml:space="preserve">boostAutosens_orefRatio</w:t>
      </w:r>
      <w:r>
        <w:t xml:space="preserve">. Everything below uses the latter.</w:t>
      </w:r>
    </w:p>
    <w:bookmarkEnd w:id="10"/>
    <w:bookmarkStart w:id="11" w:name="Xba5795d77d1cd85c2e294e0feb9161abd3c99af"/>
    <w:p>
      <w:pPr>
        <w:pStyle w:val="Heading2"/>
      </w:pPr>
      <w:r>
        <w:t xml:space="preserve">Phase one: the reconstruction does not match the device</w:t>
      </w:r>
    </w:p>
    <w:p>
      <w:pPr>
        <w:pStyle w:val="FirstParagraph"/>
      </w:pPr>
      <w:r>
        <w:t xml:space="preserve">Ten users carry a recorded oref autosens ratio. Four of them return exactly</w:t>
      </w:r>
      <w:r>
        <w:t xml:space="preserve"> </w:t>
      </w:r>
      <w:r>
        <w:t xml:space="preserve">1.000 for every record, leaving six with a signal to compare against.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Sign agreement</w:t>
            </w:r>
          </w:p>
        </w:tc>
        <w:tc>
          <w:tcPr/>
          <w:p>
            <w:pPr>
              <w:pStyle w:val="Compact"/>
            </w:pPr>
            <w:r>
              <w:t xml:space="preserve">Implied max basal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+0.670</w:t>
            </w:r>
          </w:p>
        </w:tc>
        <w:tc>
          <w:tcPr/>
          <w:p>
            <w:pPr>
              <w:pStyle w:val="Compact"/>
            </w:pPr>
            <w:r>
              <w:t xml:space="preserve">76%</w:t>
            </w:r>
          </w:p>
        </w:tc>
        <w:tc>
          <w:tcPr/>
          <w:p>
            <w:pPr>
              <w:pStyle w:val="Compact"/>
            </w:pPr>
            <w:r>
              <w:t xml:space="preserve">3.86</w:t>
            </w:r>
          </w:p>
        </w:tc>
        <w:tc>
          <w:tcPr/>
          <w:p>
            <w:pPr>
              <w:pStyle w:val="Compact"/>
            </w:pPr>
            <w:r>
              <w:t xml:space="preserve">10.82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+0.516</w:t>
            </w:r>
          </w:p>
        </w:tc>
        <w:tc>
          <w:tcPr/>
          <w:p>
            <w:pPr>
              <w:pStyle w:val="Compact"/>
            </w:pPr>
            <w:r>
              <w:t xml:space="preserve">43%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3.00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</w:t>
            </w:r>
          </w:p>
        </w:tc>
        <w:tc>
          <w:tcPr/>
          <w:p>
            <w:pPr>
              <w:pStyle w:val="Compact"/>
            </w:pPr>
            <w:r>
              <w:t xml:space="preserve">+0.434</w:t>
            </w:r>
          </w:p>
        </w:tc>
        <w:tc>
          <w:tcPr/>
          <w:p>
            <w:pPr>
              <w:pStyle w:val="Compac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-0.33</w:t>
            </w:r>
          </w:p>
        </w:tc>
        <w:tc>
          <w:tcPr/>
          <w:p>
            <w:pPr>
              <w:pStyle w:val="Compact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+0.330</w:t>
            </w:r>
          </w:p>
        </w:tc>
        <w:tc>
          <w:tcPr/>
          <w:p>
            <w:pPr>
              <w:pStyle w:val="Compact"/>
            </w:pPr>
            <w:r>
              <w:t xml:space="preserve">56%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4.80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+0.269</w:t>
            </w:r>
          </w:p>
        </w:tc>
        <w:tc>
          <w:tcPr/>
          <w:p>
            <w:pPr>
              <w:pStyle w:val="Compac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3.15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+0.134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t xml:space="preserve">1.47</w:t>
            </w:r>
          </w:p>
        </w:tc>
        <w:tc>
          <w:tcPr/>
          <w:p>
            <w:pPr>
              <w:pStyle w:val="Compact"/>
            </w:pPr>
            <w:r>
              <w:t xml:space="preserve">5.00</w:t>
            </w:r>
          </w:p>
        </w:tc>
      </w:tr>
    </w:tbl>
    <w:p>
      <w:pPr>
        <w:pStyle w:val="BodyText"/>
      </w:pPr>
      <w:r>
        <w:t xml:space="preserve">Median correlation is +0.382 and median sign agreement is 49%, which is a coin</w:t>
      </w:r>
      <w:r>
        <w:t xml:space="preserve"> </w:t>
      </w:r>
      <w:r>
        <w:t xml:space="preserve">toss. For two users the reconstruction points the opposite way to the device</w:t>
      </w:r>
      <w:r>
        <w:t xml:space="preserve"> </w:t>
      </w:r>
      <w:r>
        <w:t xml:space="preserve">almost every time, and the maximum daily basal implied by matching the device</w:t>
      </w:r>
      <w:r>
        <w:t xml:space="preserve"> </w:t>
      </w:r>
      <w:r>
        <w:t xml:space="preserve">comes out negative for one of them, which is not a quantity that can be negative.</w:t>
      </w:r>
    </w:p>
    <w:p>
      <w:pPr>
        <w:pStyle w:val="BodyText"/>
      </w:pPr>
      <w:r>
        <w:t xml:space="preserve">The fault is not the sensitivity fed in. Substituting the profile sensitivity for</w:t>
      </w:r>
      <w:r>
        <w:t xml:space="preserve"> </w:t>
      </w:r>
      <w:r>
        <w:t xml:space="preserve">the dynamic one moves the correlation from +0.142 to +0.129 for one user and</w:t>
      </w:r>
      <w:r>
        <w:t xml:space="preserve"> </w:t>
      </w:r>
      <w:r>
        <w:t xml:space="preserve">from -0.059 to -0.049 for another. The reconstruction’s deviations run</w:t>
      </w:r>
      <w:r>
        <w:t xml:space="preserve"> </w:t>
      </w:r>
      <w:r>
        <w:t xml:space="preserve">systematically positive, at a median of +1.4 to +2.7 mg/dL per five minutes for</w:t>
      </w:r>
      <w:r>
        <w:t xml:space="preserve"> </w:t>
      </w:r>
      <w:r>
        <w:t xml:space="preserve">the users it disagrees with most, while the device reads neutral over the same</w:t>
      </w:r>
      <w:r>
        <w:t xml:space="preserve"> </w:t>
      </w:r>
      <w:r>
        <w:t xml:space="preserve">periods.</w:t>
      </w:r>
    </w:p>
    <w:p>
      <w:pPr>
        <w:pStyle w:val="BodyText"/>
      </w:pPr>
      <w:r>
        <w:t xml:space="preserve">What this costs: the INV-009 detector comparison, and with it the finding that</w:t>
      </w:r>
      <w:r>
        <w:t xml:space="preserve"> </w:t>
      </w:r>
      <w:r>
        <w:t xml:space="preserve">widening the autosens clamp from 0.7 to 1.2 out to 0.5 to 1.5 was worth about</w:t>
      </w:r>
      <w:r>
        <w:t xml:space="preserve"> </w:t>
      </w:r>
      <w:r>
        <w:t xml:space="preserve">0.9 mg/dL. That result had already required three corrections, the last of which</w:t>
      </w:r>
      <w:r>
        <w:t xml:space="preserve"> </w:t>
      </w:r>
      <w:r>
        <w:t xml:space="preserve">inverted it. It should now be treated as unsupported.</w:t>
      </w:r>
    </w:p>
    <w:bookmarkEnd w:id="11"/>
    <w:bookmarkStart w:id="12" w:name="X27ff44e00a2f908b8913b0f4304a56b2ceb94a4"/>
    <w:p>
      <w:pPr>
        <w:pStyle w:val="Heading2"/>
      </w:pPr>
      <w:r>
        <w:t xml:space="preserve">Phase two: how much autosens moves, once the switched-off users are removed</w:t>
      </w:r>
    </w:p>
    <w:p>
      <w:pPr>
        <w:pStyle w:val="FirstParagraph"/>
      </w:pPr>
      <w:r>
        <w:t xml:space="preserve">An earlier version of this note reported that autosens is neutral for 90% of</w:t>
      </w:r>
      <w:r>
        <w:t xml:space="preserve"> </w:t>
      </w:r>
      <w:r>
        <w:t xml:space="preserve">decisions across all ten users. That figure is wrong to quote, because Boost’s</w:t>
      </w:r>
      <w:r>
        <w:t xml:space="preserve"> </w:t>
      </w:r>
      <w:r>
        <w:t xml:space="preserve">guidance is to switch autosens off when using it, and four of the ten users show</w:t>
      </w:r>
      <w:r>
        <w:t xml:space="preserve"> </w:t>
      </w:r>
      <w:r>
        <w:t xml:space="preserve">a ratio that takes exactly one distinct value across their whole record. Those</w:t>
      </w:r>
      <w:r>
        <w:t xml:space="preserve"> </w:t>
      </w:r>
      <w:r>
        <w:t xml:space="preserve">are disabled, not quiet.</w:t>
      </w:r>
    </w:p>
    <w:p>
      <w:pPr>
        <w:pStyle w:val="BodyText"/>
      </w:pPr>
      <w:r>
        <w:t xml:space="preserve">Separating them on whether the value ever varies: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Distinct values</w:t>
            </w:r>
          </w:p>
        </w:tc>
        <w:tc>
          <w:tcPr/>
          <w:p>
            <w:pPr>
              <w:pStyle w:val="Compact"/>
            </w:pPr>
            <w:r>
              <w:t xml:space="preserve">Neutral share</w:t>
            </w:r>
          </w:p>
        </w:tc>
        <w:tc>
          <w:tcPr/>
          <w:p>
            <w:pPr>
              <w:pStyle w:val="Compact"/>
            </w:pPr>
            <w:r>
              <w:t xml:space="preserve">At ceiling</w:t>
            </w:r>
          </w:p>
        </w:tc>
        <w:tc>
          <w:tcPr/>
          <w:p>
            <w:pPr>
              <w:pStyle w:val="Compact"/>
            </w:pPr>
            <w:r>
              <w:t xml:space="preserve">At floor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21.5%</w:t>
            </w:r>
          </w:p>
        </w:tc>
        <w:tc>
          <w:tcPr/>
          <w:p>
            <w:pPr>
              <w:pStyle w:val="Compact"/>
            </w:pPr>
            <w:r>
              <w:t xml:space="preserve">33.6%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27.3%</w:t>
            </w:r>
          </w:p>
        </w:tc>
        <w:tc>
          <w:tcPr/>
          <w:p>
            <w:pPr>
              <w:pStyle w:val="Compact"/>
            </w:pPr>
            <w:r>
              <w:t xml:space="preserve">55.2%</w:t>
            </w:r>
          </w:p>
        </w:tc>
        <w:tc>
          <w:tcPr/>
          <w:p>
            <w:pPr>
              <w:pStyle w:val="Compact"/>
            </w:pPr>
            <w:r>
              <w:t xml:space="preserve">1.3%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49.8%</w:t>
            </w:r>
          </w:p>
        </w:tc>
        <w:tc>
          <w:tcPr/>
          <w:p>
            <w:pPr>
              <w:pStyle w:val="Compact"/>
            </w:pPr>
            <w:r>
              <w:t xml:space="preserve">7.0%</w:t>
            </w:r>
          </w:p>
        </w:tc>
        <w:tc>
          <w:tcPr/>
          <w:p>
            <w:pPr>
              <w:pStyle w:val="Compact"/>
            </w:pPr>
            <w:r>
              <w:t xml:space="preserve">0.2%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27.1%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84.7%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2.2%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96.1%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0.2%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A, B, D, 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</w:tr>
    </w:tbl>
    <w:p>
      <w:pPr>
        <w:pStyle w:val="BodyText"/>
      </w:pPr>
      <w:r>
        <w:t xml:space="preserve">Among the six live users the neutral share has a median of</w:t>
      </w:r>
      <w:r>
        <w:t xml:space="preserve"> </w:t>
      </w:r>
      <w:r>
        <w:rPr>
          <w:b/>
          <w:bCs/>
        </w:rPr>
        <w:t xml:space="preserve">39%</w:t>
      </w:r>
      <w:r>
        <w:t xml:space="preserve">, so autosens</w:t>
      </w:r>
      <w:r>
        <w:t xml:space="preserve"> </w:t>
      </w:r>
      <w:r>
        <w:t xml:space="preserve">is adjusting something for roughly three fifths of decisions. That is a very</w:t>
      </w:r>
      <w:r>
        <w:t xml:space="preserve"> </w:t>
      </w:r>
      <w:r>
        <w:t xml:space="preserve">different picture from the one the pooled figure gave, and it is the one to</w:t>
      </w:r>
      <w:r>
        <w:t xml:space="preserve"> </w:t>
      </w:r>
      <w:r>
        <w:t xml:space="preserve">carry forward.</w:t>
      </w:r>
    </w:p>
    <w:p>
      <w:pPr>
        <w:pStyle w:val="BodyText"/>
      </w:pPr>
      <w:r>
        <w:t xml:space="preserve">Two of the six are still mostly neutral. tim at 84.7% and F at 96.1% look more</w:t>
      </w:r>
      <w:r>
        <w:t xml:space="preserve"> </w:t>
      </w:r>
      <w:r>
        <w:t xml:space="preserve">like the disabled group than like their live peers, and the plugin fades its</w:t>
      </w:r>
      <w:r>
        <w:t xml:space="preserve"> </w:t>
      </w:r>
      <w:r>
        <w:t xml:space="preserve">ratio toward 1 when it has under an hour of valid deviations, so a record with</w:t>
      </w:r>
      <w:r>
        <w:t xml:space="preserve"> </w:t>
      </w:r>
      <w:r>
        <w:t xml:space="preserve">frequent carbohydrate entries can sit near neutral while running normally. Those</w:t>
      </w:r>
      <w:r>
        <w:t xml:space="preserve"> </w:t>
      </w:r>
      <w:r>
        <w:t xml:space="preserve">two should not be read as evidence either way.</w:t>
      </w:r>
    </w:p>
    <w:p>
      <w:pPr>
        <w:pStyle w:val="BodyText"/>
      </w:pPr>
      <w:r>
        <w:t xml:space="preserve">Where autosens is active it reaches both bounds, which the INV-009 reconstruction</w:t>
      </w:r>
      <w:r>
        <w:t xml:space="preserve"> </w:t>
      </w:r>
      <w:r>
        <w:t xml:space="preserve">never managed: I sits at the ceiling 55.2% of the time and H 33.6%, while tim</w:t>
      </w:r>
      <w:r>
        <w:t xml:space="preserve"> </w:t>
      </w:r>
      <w:r>
        <w:t xml:space="preserve">reaches the floor 2.2% of the time.</w:t>
      </w:r>
    </w:p>
    <w:bookmarkEnd w:id="12"/>
    <w:bookmarkStart w:id="13" w:name="Xdcf81c617f4ca254dfa2010274452ae3b941710"/>
    <w:p>
      <w:pPr>
        <w:pStyle w:val="Heading2"/>
      </w:pPr>
      <w:r>
        <w:t xml:space="preserve">Phase three: the two mechanisms are largely unrelated</w:t>
      </w:r>
    </w:p>
    <w:p>
      <w:pPr>
        <w:pStyle w:val="FirstParagraph"/>
      </w:pPr>
      <w:r>
        <w:t xml:space="preserve">Nine of these users run a dose-derived ratio and oref autosens at once, both</w:t>
      </w:r>
      <w:r>
        <w:t xml:space="preserve"> </w:t>
      </w:r>
      <w:r>
        <w:t xml:space="preserve">scaling the same sensitivity from different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Applied ratio</w:t>
            </w:r>
          </w:p>
        </w:tc>
        <w:tc>
          <w:tcPr/>
          <w:p>
            <w:pPr>
              <w:pStyle w:val="Compact"/>
            </w:pPr>
            <w:r>
              <w:t xml:space="preserve">oref ratio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Both away from neutral</w:t>
            </w:r>
          </w:p>
        </w:tc>
        <w:tc>
          <w:tcPr/>
          <w:p>
            <w:pPr>
              <w:pStyle w:val="Compact"/>
            </w:pPr>
            <w:r>
              <w:t xml:space="preserve">Opposed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0.874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  <w:r>
              <w:t xml:space="preserve">+0.351</w:t>
            </w:r>
          </w:p>
        </w:tc>
        <w:tc>
          <w:tcPr/>
          <w:p>
            <w:pPr>
              <w:pStyle w:val="Compact"/>
            </w:pPr>
            <w:r>
              <w:t xml:space="preserve">67.5%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0.835</w:t>
            </w:r>
          </w:p>
        </w:tc>
        <w:tc>
          <w:tcPr/>
          <w:p>
            <w:pPr>
              <w:pStyle w:val="Compact"/>
            </w:pPr>
            <w:r>
              <w:t xml:space="preserve">1.022</w:t>
            </w:r>
          </w:p>
        </w:tc>
        <w:tc>
          <w:tcPr/>
          <w:p>
            <w:pPr>
              <w:pStyle w:val="Compact"/>
            </w:pPr>
            <w:r>
              <w:t xml:space="preserve">+0.304</w:t>
            </w:r>
          </w:p>
        </w:tc>
        <w:tc>
          <w:tcPr/>
          <w:p>
            <w:pPr>
              <w:pStyle w:val="Compact"/>
            </w:pPr>
            <w:r>
              <w:t xml:space="preserve">46.0%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1.161</w:t>
            </w:r>
          </w:p>
        </w:tc>
        <w:tc>
          <w:tcPr/>
          <w:p>
            <w:pPr>
              <w:pStyle w:val="Compact"/>
            </w:pPr>
            <w:r>
              <w:t xml:space="preserve">+0.133</w:t>
            </w:r>
          </w:p>
        </w:tc>
        <w:tc>
          <w:tcPr/>
          <w:p>
            <w:pPr>
              <w:pStyle w:val="Compact"/>
            </w:pPr>
            <w:r>
              <w:t xml:space="preserve">71.7%</w:t>
            </w:r>
          </w:p>
        </w:tc>
        <w:tc>
          <w:tcPr/>
          <w:p>
            <w:pPr>
              <w:pStyle w:val="Compact"/>
            </w:pPr>
            <w:r>
              <w:t xml:space="preserve">49%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+0.122</w:t>
            </w:r>
          </w:p>
        </w:tc>
        <w:tc>
          <w:tcPr/>
          <w:p>
            <w:pPr>
              <w:pStyle w:val="Compact"/>
            </w:pPr>
            <w:r>
              <w:t xml:space="preserve">3.5%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</w:t>
            </w:r>
          </w:p>
        </w:tc>
        <w:tc>
          <w:tcPr/>
          <w:p>
            <w:pPr>
              <w:pStyle w:val="Compact"/>
            </w:pPr>
            <w:r>
              <w:t xml:space="preserve">0.971</w:t>
            </w:r>
          </w:p>
        </w:tc>
        <w:tc>
          <w:tcPr/>
          <w:p>
            <w:pPr>
              <w:pStyle w:val="Compact"/>
            </w:pPr>
            <w:r>
              <w:t xml:space="preserve">0.980</w:t>
            </w:r>
          </w:p>
        </w:tc>
        <w:tc>
          <w:tcPr/>
          <w:p>
            <w:pPr>
              <w:pStyle w:val="Compact"/>
            </w:pPr>
            <w:r>
              <w:t xml:space="preserve">-0.091</w:t>
            </w:r>
          </w:p>
        </w:tc>
        <w:tc>
          <w:tcPr/>
          <w:p>
            <w:pPr>
              <w:pStyle w:val="Compact"/>
            </w:pPr>
            <w:r>
              <w:t xml:space="preserve">1.5%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0.849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-0.035</w:t>
            </w:r>
          </w:p>
        </w:tc>
        <w:tc>
          <w:tcPr/>
          <w:p>
            <w:pPr>
              <w:pStyle w:val="Compact"/>
            </w:pPr>
            <w:r>
              <w:t xml:space="preserve">71.4%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</w:tr>
    </w:tbl>
    <w:p>
      <w:pPr>
        <w:pStyle w:val="BodyText"/>
      </w:pPr>
      <w:r>
        <w:t xml:space="preserve">Median correlation is +0.128. When both are away from neutral they point in</w:t>
      </w:r>
      <w:r>
        <w:t xml:space="preserve"> </w:t>
      </w:r>
      <w:r>
        <w:t xml:space="preserve">opposite directions for a median of 34% of the time, and for one user 82% of the</w:t>
      </w:r>
      <w:r>
        <w:t xml:space="preserve"> </w:t>
      </w:r>
      <w:r>
        <w:t xml:space="preserve">time.</w:t>
      </w:r>
    </w:p>
    <w:p>
      <w:pPr>
        <w:pStyle w:val="BodyText"/>
      </w:pPr>
      <w:r>
        <w:t xml:space="preserve">So the two are close to independent, and for some people actively opposed. One</w:t>
      </w:r>
      <w:r>
        <w:t xml:space="preserve"> </w:t>
      </w:r>
      <w:r>
        <w:t xml:space="preserve">reads recent dose, the other reads recent deviations, and they reach different</w:t>
      </w:r>
      <w:r>
        <w:t xml:space="preserve"> </w:t>
      </w:r>
      <w:r>
        <w:t xml:space="preserve">conclusions about the same person at the same moment. Which is right is not</w:t>
      </w:r>
      <w:r>
        <w:t xml:space="preserve"> </w:t>
      </w:r>
      <w:r>
        <w:t xml:space="preserve">something this data settles. That they disagree is worth knowing before either</w:t>
      </w:r>
      <w:r>
        <w:t xml:space="preserve"> </w:t>
      </w:r>
      <w:r>
        <w:t xml:space="preserve">is trusted as a sensitivity signal.</w:t>
      </w:r>
    </w:p>
    <w:bookmarkEnd w:id="13"/>
    <w:bookmarkStart w:id="14" w:name="what-follows"/>
    <w:p>
      <w:pPr>
        <w:pStyle w:val="Heading2"/>
      </w:pPr>
      <w:r>
        <w:t xml:space="preserve">What follows</w:t>
      </w:r>
    </w:p>
    <w:p>
      <w:pPr>
        <w:pStyle w:val="FirstParagraph"/>
      </w:pPr>
      <w:r>
        <w:t xml:space="preserve">The INV-009 detector work needs redoing against a device before any of it is</w:t>
      </w:r>
      <w:r>
        <w:t xml:space="preserve"> </w:t>
      </w:r>
      <w:r>
        <w:t xml:space="preserve">quoted. That means a cohort running oref autosens as the applied mechanism, which</w:t>
      </w:r>
      <w:r>
        <w:t xml:space="preserve"> </w:t>
      </w:r>
      <w:r>
        <w:t xml:space="preserve">this one is not.</w:t>
      </w:r>
    </w:p>
    <w:p>
      <w:pPr>
        <w:pStyle w:val="BodyText"/>
      </w:pPr>
      <w:r>
        <w:t xml:space="preserve">The phase two question resolved once the switched-off users were separated out.</w:t>
      </w:r>
      <w:r>
        <w:t xml:space="preserve"> </w:t>
      </w:r>
      <w:r>
        <w:t xml:space="preserve">Among users whose computation is live, autosens is adjusting for about three</w:t>
      </w:r>
      <w:r>
        <w:t xml:space="preserve"> </w:t>
      </w:r>
      <w:r>
        <w:t xml:space="preserve">fifths of decisions, which is a working mechanism rather than a dormant one.</w:t>
      </w:r>
    </w:p>
    <w:p>
      <w:pPr>
        <w:pStyle w:val="BodyText"/>
      </w:pPr>
      <w:r>
        <w:t xml:space="preserve">What remains open is whether that generalises. Every user here runs Boost in its</w:t>
      </w:r>
      <w:r>
        <w:t xml:space="preserve"> </w:t>
      </w:r>
      <w:r>
        <w:t xml:space="preserve">dose-derived mode, so even the live oref ratio is a shadow rather than the number</w:t>
      </w:r>
      <w:r>
        <w:t xml:space="preserve"> </w:t>
      </w:r>
      <w:r>
        <w:t xml:space="preserve">doing the dosing. Whether autosens behaves the same way when it is the applied</w:t>
      </w:r>
      <w:r>
        <w:t xml:space="preserve"> </w:t>
      </w:r>
      <w:r>
        <w:t xml:space="preserve">mechanism, on profile sensitivity, is not something this cohort can show.</w:t>
      </w:r>
    </w:p>
    <w:bookmarkEnd w:id="14"/>
    <w:bookmarkStart w:id="15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Eleven people, self-selected, running a development branch, over five weeks. This</w:t>
      </w:r>
      <w:r>
        <w:t xml:space="preserve"> </w:t>
      </w:r>
      <w:r>
        <w:t xml:space="preserve">supports statements about mechanism and about whether a reconstruction is</w:t>
      </w:r>
      <w:r>
        <w:t xml:space="preserve"> </w:t>
      </w:r>
      <w:r>
        <w:t xml:space="preserve">faithful. It supports no population claim.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OREF-INV-010: autosens against a real device</dc:title>
  <dc:creator>Tim Street</dc:creator>
  <cp:keywords/>
  <dcterms:created xsi:type="dcterms:W3CDTF">2026-08-26T07:32:36Z</dcterms:created>
  <dcterms:modified xsi:type="dcterms:W3CDTF">2026-08-26T07:32:36Z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August 2026</vt:lpwstr>
  </property>
  <property fmtid="{D5CDD505-2E9C-101B-9397-08002B2CF9AE}" pid="3" name="subtitle">
    <vt:lpwstr>Three phases run on the Boost cohort, and what the first one costs</vt:lpwstr>
  </property>
</Properties>
</file>