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response, which must be one strict JSON object,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insulin, and no carbohydrate entries, since the author does not log meals. The profile had a single ISF of 56 mg/dl per unit, overnight targets of 90 mg/dl, a DIA of 10 hours, a maximum basal of 12 U/h and a maximum insulin on board (IOB) of 25 U. Time below 70 mg/dl peaks at 18.5 per cent in the hour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rather than to differences between records.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started afresh,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missing sections, invalid status, confidence and priority words,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over settings of the proportion of conversations agreeing with the modal decision.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the per-decision check of whether a change’s rationale cited a figure from the record, and the reading of the overnight rationales for whether they attributed the lows to earlier insulin or to the setting itself, which were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so the remainder concerns the study record. The models quoted the record accurately (post hoc analysis): of the figures with a unit in accepted responses, 96.8 per cent (Opus) to 100 per cent (GPT-5.4-mini, Llama) were present in the package, the remainder being thresholds or simple derived quantities. Where a response changed a setting, the rationale cited at least one figure from the record in 85 to 100 per cent of changes for eight models, in 69 per cent for Gemini 3.1 Pro, in neither of GPT-5.4-mini’s two changes, and in 5 per cent for Llama, whose changes carried no figure at all in 53 of 56 (Supplementary Table S3); no rationale quoted a figure that was absent from the record. Each model recognised that no carbohydrates had been logged in at least 70 per cent of its conversations (post hoc analysis). Only Llama changed a carbohydrate ratio (2 of 44 conversations); the others said the ratios could not be tested without meal data. The three models that acted on the safety limits cited the same arithmetic, a 25 U ceiling against roughly 19.7 U of insulin a day, and both branches of the fork described below cited the same figure, 18.5 per cent of readings below 70 mg/dl at 01:00.</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Table 2 compares the models. Gemini 3.6 Flash, Gemini 3.1 Pro and Opus lowered the IOB limit in 98, 90 and 73 per cent of accepted conversations; GPT-5.6-sol, GPT-5.4-mini, Sonnet and Grok left it alone throughout; DeepSeek and Llama lowered it in 44 and 39 per cent. The overnight target was raised by the Gemini models in 78 to 90 per cent of conversations, by GPT-5.6-sol in 36 per cent and by Grok in 20 per cent. Four models changed nothing in most conversations: GPT-5.4-mini in 46 of 48, Sonnet in 18 of 19, Grok in 40 of 50 and Flash-Lite in 32 of 39.</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IOB from 4 to 15 U and maximum basal from 2.5 to 4 U/h.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 and the highest indices belonged to the models that changed nothing.</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the other seven. DeepSeek changed the ISF in 20 of 48 (42 per cent, 28.8 to 55.7), proposing 14 distinct values from 30 to 180 mg/dl per unit against a current 56.</w:t>
      </w:r>
    </w:p>
    <w:p>
      <w:pPr>
        <w:pStyle w:val="BodyText"/>
        <w:spacing w:line="480" w:lineRule="auto"/>
      </w:pPr>
      <w:r>
        <w:t xml:space="preserve">The overnight lows themselves were read three ways (Table 3; post hoc analysis). Opus and Sonnet traced them to earlier insulin in 11 of 11 and 18 of 19 conversations, and neither model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as a buffer against it.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and Flash-Lite in 10 of 50 (20 per cent, 11.2 to 33.0); the application offers no way forward from that state. Llama recovered through the repair prompt in 25 of 50 conversations, whereas Haiku was still rejected after the repair prompt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all of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that ranged over a factor of six, and one raised a basal rate that another lowered. Within a single model the direction held and the number did not, so a second conversation on the same package would often have given a different pair of safety limits. The overnight lows show the difference at its clearest: the same figure led two models to leave the overnight settings alone because earlier insulin explained it, two to raise the target as a cushion against that same insulin, and one to change the basal without offering a cause, and only the first of these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10-hour DIA to 5 to 8 hours in eight conversations has the shape of the textbook anchoring seen before. The comparison is between two studies with different records, prompts and models, so it shows that the earlier failures were largely absent here rather than that the package removed them.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The record came from one adult, so 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2026-08-23T17:52:46Z</dcterms:created>
  <dcterms:modified xsi:type="dcterms:W3CDTF">2026-08-23T17:52:46Z</dcterms:modified>
</cp:coreProperties>
</file>

<file path=docProps/custom.xml><?xml version="1.0" encoding="utf-8"?>
<Properties xmlns="http://schemas.openxmlformats.org/officeDocument/2006/custom-properties" xmlns:vt="http://schemas.openxmlformats.org/officeDocument/2006/docPropsVTypes"/>
</file>