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rest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photograph-based carbohydrate estimates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The application’s synthetic demonstration package served as a control. The study package came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at 01:00 local time and has fallen to low single figures by 04:00 under the same basal segment, which under a 10-hour DIA is more consistent with the tail of evening insulin than with the overnight basal or target; the reading is the author’s interpretation.</w:t>
      </w:r>
    </w:p>
    <w:p>
      <w:pPr>
        <w:pStyle w:val="BodyText"/>
        <w:spacing w:line="480" w:lineRule="auto"/>
      </w:pPr>
      <w:r>
        <w:t xml:space="preserve">One record was used by design. The question is whether the same input yields the same review; holding the input fixed attributes all observed variation to the model and the application. A study of whether the advice is correct would need many records and a reference standard, and is a different study. The data are the author’s own, published with his written consent; no other person’s data were involved and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fresh, with the package attached to the first prompt and the remaining prompts sent in turn. No sampling parameters were set;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ran per model, 20 for Opus and Sonnet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proportion of conversations agreeing with the modal decision per setting.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and per-decision citation checks, the reading of the overnight rationales, and the examination of how responses read the package’s insulin total and other partial fields,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All 50 control-package conversations kept every setting unchanged; the remainder concerns the study record. The models quoted the record accurately (post hoc analysis): of the figures with a unit in accepted responses, 96.8 per cent (Opus) to 100 per cent (GPT-5.4-mini, Llama) were present in the package.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the others said the ratios could not be tested without meal data. The three models that acted on the safety limits cited the same arithmetic, a 25 U ceiling against 19.7 U of insulin a day, and both branches of the fork below cited the same figure, 18.5 per cent of readings below 70 mg/dl at 01:00. The 19.7 U is inherited: the package’s insulin total sums only the bolus and SMB records, carries no basal delivery, and its scheduled basal adds 16.2 U a day (post hoc analysis; Supplementary Table S4). Flash took the bolus-only sum as the daily total in 49 of 50 conversations and lowered the limit in 48; GPT-5.4-mini, Haiku and Opus noted the omission in most of theirs; Opus reconstructed about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Gemini 3.6 Flash, Gemini 3.1 Pro and Opus lowered the IOB limit in 98, 90 and 73 per cent of accepted conversations; four models left it alone throughout; DeepSeek and Llama lowered it in 44 and 39 per cent. Four models changed nothing in most conversations, GPT-5.4-mini and Sonnet among them.</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cut the midnight basal from 0.6 to 0.5 U/h and led with</w:t>
      </w:r>
      <w:r>
        <w:t xml:space="preserve"> </w:t>
      </w:r>
      <w:r>
        <w:t xml:space="preserve">“basal”</w:t>
      </w:r>
      <w:r>
        <w:t xml:space="preserve">. Llama changed the midnight basal in 23 of 44 accepted conversations, raising it to 0.65 U/h in 16 and lowering it to 0.55 U/h in seven. DeepSeek changed the ISF in 20 of 48 (42 per cent, 28.8 to 55.7), proposing 14 distinct values from 30 to 180 mg/dl per unit against a current 56, a range that tracks the package’s own dynamic sensitivity values, 37.9 to 124, and reads as anchoring on them rather than invention (interpretation).</w:t>
      </w:r>
    </w:p>
    <w:p>
      <w:pPr>
        <w:pStyle w:val="BodyText"/>
        <w:spacing w:line="480" w:lineRule="auto"/>
      </w:pPr>
      <w:r>
        <w:t xml:space="preserve">The overnight lows themselves were read three ways (Table 3; post hoc analysis). Opus and Sonnet traced them to earlier insulin in 11 of 11 and 18 of 19 conversations, and neither changed the overnight target or basal.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invalid JSON in nine of 20 conversations (45 per cent, 25.8 to 65.8) and Flash-Lite in 10 of 50 (20 per cent, 11.2 to 33.0); the application offers no way forward from that state. Llama recovered through the repair prompt in 25 of 50 conversations, whereas Haiku was still rejected after it in 27 of 50 (54 per cent, 40.4 to 67.0).</w:t>
      </w:r>
    </w:p>
    <w:p>
      <w:pPr>
        <w:pStyle w:val="BodyText"/>
        <w:spacing w:line="480" w:lineRule="auto"/>
      </w:pPr>
      <w:r>
        <w:t xml:space="preserve">Nothing in the preceding section was caught: the check accepted all 40 safety-limit pairs,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ranging over a factor of six, and one raised a basal rate that another lowered. Within a single model the direction held and the number did not. The overnight lows show the difference at its clearest: the same figure led two models to leave the overnight settings alone because earlier insulin explained it, two to raise the target as a cushion against it, and one to change the basal without offering a cause; only the first acts on what the record shows. Each answer was internally coherent and presented in the same form; nothing on the screen tells the user which they hold.</w:t>
      </w:r>
    </w:p>
    <w:p>
      <w:pPr>
        <w:pStyle w:val="BodyText"/>
        <w:spacing w:line="480" w:lineRule="auto"/>
      </w:pPr>
      <w:r>
        <w:t xml:space="preserve">This is a different failure from the two seen with raw five-minute data, where settings anchored on training priors and cited readings were unreliable [9]. The package here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DIA has the shape of the textbook anchoring seen before. The comparison is between two studies with different records, prompts and models, so it shows the earlier failures largely absent, not that the package removed them. The package also fixes what the models do not see: its insulin total omits basal delivery, and the model that cut the safety limits most often was the one that mistook the bolus-only sum for the whole. The models that read the total correctly did so from training, since knowing that an AID system delivers basal insulin is not in the package; the priors the earlier study treated as anchoring are also a model’s means of questioning the data, and whether a draw applies them is itself sampled. Two smaller splits have the same shape: the hourly glucose is keyed in both UTC and local time, and 30 conversations placed the low band at the wrong clock hour; the diluted insulin is disclosed only in a profile name string, which 90 conversations noticed (Supplementary Table S5).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is cured by a temperature setting: the chat interfaces expose none, and non-determinism persists at temperature zero [12]. A design that took the variation seriously would run the analysis several times, show the spread, and validate and pin one model rather than accept any. The advice that every suggested change be checked for plausibility before it is acted on [10] assumes a user who can recognise which of several plausible answers they hold, and the application’s screen gives them no means of doing so.</w:t>
      </w:r>
    </w:p>
    <w:p>
      <w:pPr>
        <w:pStyle w:val="BodyText"/>
        <w:spacing w:line="480" w:lineRule="auto"/>
      </w:pPr>
      <w:r>
        <w:t xml:space="preserve">A profile with different problems might be treated differently. The application was withdrawn from Google Play after these findings were published in late August 2026, a sequence the developer confirmed to the author (personal communication); the analysis describes the product as sold. The validator reproduces the application’s behaviour on 25 informative tests but could differ on untested cases. The study measured consistency, not correctness: there is no reference answer for these settings and no counterfactual glucose trajectory for any change, so what is reported is what the models produced, not what would have followed had a user acted.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 listing removed by 24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2026-08-24T21:30:14Z</dcterms:created>
  <dcterms:modified xsi:type="dcterms:W3CDTF">2026-08-24T21:30:14Z</dcterms:modified>
</cp:coreProperties>
</file>

<file path=docProps/custom.xml><?xml version="1.0" encoding="utf-8"?>
<Properties xmlns="http://schemas.openxmlformats.org/officeDocument/2006/custom-properties" xmlns:vt="http://schemas.openxmlformats.org/officeDocument/2006/docPropsVTypes"/>
</file>