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BD156"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Excellent </w:t>
      </w:r>
      <w:r w:rsidRPr="00F06F97">
        <w:rPr>
          <w:rFonts w:ascii="Segoe UI Emoji" w:eastAsia="Times New Roman" w:hAnsi="Segoe UI Emoji" w:cs="Segoe UI Emoji"/>
          <w:kern w:val="0"/>
          <w14:ligatures w14:val="none"/>
        </w:rPr>
        <w:t>👌</w:t>
      </w:r>
      <w:r w:rsidRPr="00F06F97">
        <w:rPr>
          <w:rFonts w:ascii="Times New Roman" w:eastAsia="Times New Roman" w:hAnsi="Times New Roman" w:cs="Times New Roman"/>
          <w:kern w:val="0"/>
          <w14:ligatures w14:val="none"/>
        </w:rPr>
        <w:br/>
        <w:t xml:space="preserve">Here’s your </w:t>
      </w:r>
      <w:r w:rsidRPr="00F06F97">
        <w:rPr>
          <w:rFonts w:ascii="Times New Roman" w:eastAsia="Times New Roman" w:hAnsi="Times New Roman" w:cs="Times New Roman"/>
          <w:b/>
          <w:bCs/>
          <w:kern w:val="0"/>
          <w14:ligatures w14:val="none"/>
        </w:rPr>
        <w:t>complete publication-ready article</w:t>
      </w:r>
      <w:r w:rsidRPr="00F06F97">
        <w:rPr>
          <w:rFonts w:ascii="Times New Roman" w:eastAsia="Times New Roman" w:hAnsi="Times New Roman" w:cs="Times New Roman"/>
          <w:kern w:val="0"/>
          <w14:ligatures w14:val="none"/>
        </w:rPr>
        <w:t xml:space="preserve"> on </w:t>
      </w:r>
      <w:r w:rsidRPr="00F06F97">
        <w:rPr>
          <w:rFonts w:ascii="Times New Roman" w:eastAsia="Times New Roman" w:hAnsi="Times New Roman" w:cs="Times New Roman"/>
          <w:b/>
          <w:bCs/>
          <w:kern w:val="0"/>
          <w14:ligatures w14:val="none"/>
        </w:rPr>
        <w:t>“Data Protection and Privacy Compliance in the Digital Era”</w:t>
      </w:r>
      <w:r w:rsidRPr="00F06F97">
        <w:rPr>
          <w:rFonts w:ascii="Times New Roman" w:eastAsia="Times New Roman" w:hAnsi="Times New Roman" w:cs="Times New Roman"/>
          <w:kern w:val="0"/>
          <w14:ligatures w14:val="none"/>
        </w:rPr>
        <w:t xml:space="preserve">, structured according to your </w:t>
      </w:r>
      <w:proofErr w:type="gramStart"/>
      <w:r w:rsidRPr="00F06F97">
        <w:rPr>
          <w:rFonts w:ascii="Times New Roman" w:eastAsia="Times New Roman" w:hAnsi="Times New Roman" w:cs="Times New Roman"/>
          <w:kern w:val="0"/>
          <w14:ligatures w14:val="none"/>
        </w:rPr>
        <w:t>academy’s</w:t>
      </w:r>
      <w:proofErr w:type="gramEnd"/>
      <w:r w:rsidRPr="00F06F97">
        <w:rPr>
          <w:rFonts w:ascii="Times New Roman" w:eastAsia="Times New Roman" w:hAnsi="Times New Roman" w:cs="Times New Roman"/>
          <w:kern w:val="0"/>
          <w14:ligatures w14:val="none"/>
        </w:rPr>
        <w:t xml:space="preserve"> and LinkedIn publishing standards (5,000+ words, professional tone, includes references).</w:t>
      </w:r>
    </w:p>
    <w:p w14:paraId="018AC476"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2CA9B">
          <v:rect id="_x0000_i1025" style="width:0;height:1.5pt" o:hralign="center" o:hrstd="t" o:hr="t" fillcolor="#a0a0a0" stroked="f"/>
        </w:pict>
      </w:r>
    </w:p>
    <w:p w14:paraId="439F8BC7" w14:textId="77777777" w:rsidR="00F06F97" w:rsidRPr="00F06F97" w:rsidRDefault="00F06F97" w:rsidP="00F06F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6F97">
        <w:rPr>
          <w:rFonts w:ascii="Times New Roman" w:eastAsia="Times New Roman" w:hAnsi="Times New Roman" w:cs="Times New Roman"/>
          <w:b/>
          <w:bCs/>
          <w:kern w:val="0"/>
          <w:sz w:val="36"/>
          <w:szCs w:val="36"/>
          <w14:ligatures w14:val="none"/>
        </w:rPr>
        <w:t>Data Protection and Privacy Compliance in the Digital Era</w:t>
      </w:r>
    </w:p>
    <w:p w14:paraId="5AC231E0"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Author:</w:t>
      </w:r>
      <w:r w:rsidRPr="00F06F97">
        <w:rPr>
          <w:rFonts w:ascii="Times New Roman" w:eastAsia="Times New Roman" w:hAnsi="Times New Roman" w:cs="Times New Roman"/>
          <w:kern w:val="0"/>
          <w14:ligatures w14:val="none"/>
        </w:rPr>
        <w:t xml:space="preserve"> </w:t>
      </w:r>
      <w:proofErr w:type="spellStart"/>
      <w:r w:rsidRPr="00F06F97">
        <w:rPr>
          <w:rFonts w:ascii="Times New Roman" w:eastAsia="Times New Roman" w:hAnsi="Times New Roman" w:cs="Times New Roman"/>
          <w:kern w:val="0"/>
          <w14:ligatures w14:val="none"/>
        </w:rPr>
        <w:t>Oluwatimilehin</w:t>
      </w:r>
      <w:proofErr w:type="spellEnd"/>
      <w:r w:rsidRPr="00F06F97">
        <w:rPr>
          <w:rFonts w:ascii="Times New Roman" w:eastAsia="Times New Roman" w:hAnsi="Times New Roman" w:cs="Times New Roman"/>
          <w:kern w:val="0"/>
          <w14:ligatures w14:val="none"/>
        </w:rPr>
        <w:t xml:space="preserve"> </w:t>
      </w:r>
      <w:proofErr w:type="spellStart"/>
      <w:r w:rsidRPr="00F06F97">
        <w:rPr>
          <w:rFonts w:ascii="Times New Roman" w:eastAsia="Times New Roman" w:hAnsi="Times New Roman" w:cs="Times New Roman"/>
          <w:kern w:val="0"/>
          <w14:ligatures w14:val="none"/>
        </w:rPr>
        <w:t>Oluwagbemi</w:t>
      </w:r>
      <w:proofErr w:type="spellEnd"/>
      <w:r w:rsidRPr="00F06F97">
        <w:rPr>
          <w:rFonts w:ascii="Times New Roman" w:eastAsia="Times New Roman" w:hAnsi="Times New Roman" w:cs="Times New Roman"/>
          <w:kern w:val="0"/>
          <w14:ligatures w14:val="none"/>
        </w:rPr>
        <w:br/>
      </w:r>
      <w:r w:rsidRPr="00F06F97">
        <w:rPr>
          <w:rFonts w:ascii="Times New Roman" w:eastAsia="Times New Roman" w:hAnsi="Times New Roman" w:cs="Times New Roman"/>
          <w:b/>
          <w:bCs/>
          <w:kern w:val="0"/>
          <w14:ligatures w14:val="none"/>
        </w:rPr>
        <w:t>Affiliation:</w:t>
      </w:r>
      <w:r w:rsidRPr="00F06F97">
        <w:rPr>
          <w:rFonts w:ascii="Times New Roman" w:eastAsia="Times New Roman" w:hAnsi="Times New Roman" w:cs="Times New Roman"/>
          <w:kern w:val="0"/>
          <w14:ligatures w14:val="none"/>
        </w:rPr>
        <w:t xml:space="preserve"> IT/Cybersecurity Analyst &amp; Trainer, [Your Organization or Academy Name]</w:t>
      </w:r>
    </w:p>
    <w:p w14:paraId="670048D9"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43933A">
          <v:rect id="_x0000_i1026" style="width:0;height:1.5pt" o:hralign="center" o:hrstd="t" o:hr="t" fillcolor="#a0a0a0" stroked="f"/>
        </w:pict>
      </w:r>
    </w:p>
    <w:p w14:paraId="10F78AF2"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Abstract (150–250 words)</w:t>
      </w:r>
    </w:p>
    <w:p w14:paraId="039A1ECA"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In an era defined by digital transformation, data has emerged as one of the most valuable assets for organizations worldwide. However, the exponential growth in data collection, processing, and sharing has intensified privacy concerns and compliance obligations. This article explores the evolving landscape of data protection and privacy compliance, examining key regulations such as the EU General Data Protection Regulation (GDPR), the California Consumer Privacy Act (CCPA), and Nigeria’s Data Protection Regulation (NDPR). It highlights the compliance challenges organizations face in managing cross-border data transfers, integrating emerging technologies, and mitigating insider threats. The paper further discusses opportunities created by robust compliance frameworks in fostering trust, enhancing organizational reputation, and enabling sustainable digital innovation. Through a synthesis of global best practices, case studies, and risk management insights, this article provides actionable recommendations for building resilient compliance programs anchored on governance, automation, and privacy-by-design principles. Ultimately, the discussion underscores that effective data protection is not merely a legal requirement—it is a strategic advantage in today’s interconnected digital economy.</w:t>
      </w:r>
    </w:p>
    <w:p w14:paraId="4A9BD9B0"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73BAC3">
          <v:rect id="_x0000_i1027" style="width:0;height:1.5pt" o:hralign="center" o:hrstd="t" o:hr="t" fillcolor="#a0a0a0" stroked="f"/>
        </w:pict>
      </w:r>
    </w:p>
    <w:p w14:paraId="57FB1884"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1. Introduction</w:t>
      </w:r>
    </w:p>
    <w:p w14:paraId="56E86927"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The digital revolution has transformed every aspect of human and organizational activity. Data now drives business models, shapes consumer interactions, and underpins strategic decision-making across industries. As organizations increasingly rely on digital platforms and cloud-based infrastructures, the amount of personal and sensitive data being collected, stored, and shared continues to grow at an unprecedented rate.</w:t>
      </w:r>
    </w:p>
    <w:p w14:paraId="2D16D7E8"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However, this explosion of data has also introduced new challenges—particularly around data privacy, security, and compliance. High-profile data breaches, misuse of personal information, </w:t>
      </w:r>
      <w:r w:rsidRPr="00F06F97">
        <w:rPr>
          <w:rFonts w:ascii="Times New Roman" w:eastAsia="Times New Roman" w:hAnsi="Times New Roman" w:cs="Times New Roman"/>
          <w:kern w:val="0"/>
          <w14:ligatures w14:val="none"/>
        </w:rPr>
        <w:lastRenderedPageBreak/>
        <w:t>and rising consumer awareness have forced regulators and businesses to confront the complex ethical and legal questions surrounding data handling.</w:t>
      </w:r>
    </w:p>
    <w:p w14:paraId="6065B7D8"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Globally, regulations such as the </w:t>
      </w:r>
      <w:r w:rsidRPr="00F06F97">
        <w:rPr>
          <w:rFonts w:ascii="Times New Roman" w:eastAsia="Times New Roman" w:hAnsi="Times New Roman" w:cs="Times New Roman"/>
          <w:b/>
          <w:bCs/>
          <w:kern w:val="0"/>
          <w14:ligatures w14:val="none"/>
        </w:rPr>
        <w:t>EU General Data Protection Regulation (GDPR)</w:t>
      </w:r>
      <w:r w:rsidRPr="00F06F97">
        <w:rPr>
          <w:rFonts w:ascii="Times New Roman" w:eastAsia="Times New Roman" w:hAnsi="Times New Roman" w:cs="Times New Roman"/>
          <w:kern w:val="0"/>
          <w14:ligatures w14:val="none"/>
        </w:rPr>
        <w:t xml:space="preserve">, the </w:t>
      </w:r>
      <w:r w:rsidRPr="00F06F97">
        <w:rPr>
          <w:rFonts w:ascii="Times New Roman" w:eastAsia="Times New Roman" w:hAnsi="Times New Roman" w:cs="Times New Roman"/>
          <w:b/>
          <w:bCs/>
          <w:kern w:val="0"/>
          <w14:ligatures w14:val="none"/>
        </w:rPr>
        <w:t>California Consumer Privacy Act (CCPA)</w:t>
      </w:r>
      <w:r w:rsidRPr="00F06F97">
        <w:rPr>
          <w:rFonts w:ascii="Times New Roman" w:eastAsia="Times New Roman" w:hAnsi="Times New Roman" w:cs="Times New Roman"/>
          <w:kern w:val="0"/>
          <w14:ligatures w14:val="none"/>
        </w:rPr>
        <w:t xml:space="preserve">, and </w:t>
      </w:r>
      <w:r w:rsidRPr="00F06F97">
        <w:rPr>
          <w:rFonts w:ascii="Times New Roman" w:eastAsia="Times New Roman" w:hAnsi="Times New Roman" w:cs="Times New Roman"/>
          <w:b/>
          <w:bCs/>
          <w:kern w:val="0"/>
          <w14:ligatures w14:val="none"/>
        </w:rPr>
        <w:t>Nigeria’s Data Protection Regulation (NDPR)</w:t>
      </w:r>
      <w:r w:rsidRPr="00F06F97">
        <w:rPr>
          <w:rFonts w:ascii="Times New Roman" w:eastAsia="Times New Roman" w:hAnsi="Times New Roman" w:cs="Times New Roman"/>
          <w:kern w:val="0"/>
          <w14:ligatures w14:val="none"/>
        </w:rPr>
        <w:t xml:space="preserve"> represent significant steps toward establishing legal and operational standards for personal data protection. These laws aim to give individuals greater control over their personal information while compelling organizations to implement robust data governance measures.</w:t>
      </w:r>
    </w:p>
    <w:p w14:paraId="394ACE22"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Despite these frameworks, compliance remains a daunting challenge. Many organizations struggle to interpret overlapping global regulations, allocate sufficient resources for compliance, and adapt to rapidly evolving technologies such as artificial intelligence (AI) and the Internet of Things (IoT). Consequently, data protection and privacy compliance have become not only legal imperatives but also critical dimensions of corporate governance and risk management.</w:t>
      </w:r>
    </w:p>
    <w:p w14:paraId="05D2C114"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This article explores the dynamics of data protection compliance in the digital age—highlighting key regulatory developments, challenges, and best practices for achieving sustainable compliance and maintaining public trust.</w:t>
      </w:r>
    </w:p>
    <w:p w14:paraId="0145BDC3"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D0A881">
          <v:rect id="_x0000_i1028" style="width:0;height:1.5pt" o:hralign="center" o:hrstd="t" o:hr="t" fillcolor="#a0a0a0" stroked="f"/>
        </w:pict>
      </w:r>
    </w:p>
    <w:p w14:paraId="6B8D9CBB"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2. The Regulatory Landscape of Data Protection</w:t>
      </w:r>
    </w:p>
    <w:p w14:paraId="32C2A94C"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Modern data protection frameworks have evolved in response to increasing privacy concerns and technological advancements. The </w:t>
      </w:r>
      <w:r w:rsidRPr="00F06F97">
        <w:rPr>
          <w:rFonts w:ascii="Times New Roman" w:eastAsia="Times New Roman" w:hAnsi="Times New Roman" w:cs="Times New Roman"/>
          <w:b/>
          <w:bCs/>
          <w:kern w:val="0"/>
          <w14:ligatures w14:val="none"/>
        </w:rPr>
        <w:t>GDPR</w:t>
      </w:r>
      <w:r w:rsidRPr="00F06F97">
        <w:rPr>
          <w:rFonts w:ascii="Times New Roman" w:eastAsia="Times New Roman" w:hAnsi="Times New Roman" w:cs="Times New Roman"/>
          <w:kern w:val="0"/>
          <w14:ligatures w14:val="none"/>
        </w:rPr>
        <w:t xml:space="preserve">, enacted in 2018, remains the gold standard for global data protection, influencing legislation across continents. It introduced fundamental principles such as </w:t>
      </w:r>
      <w:r w:rsidRPr="00F06F97">
        <w:rPr>
          <w:rFonts w:ascii="Times New Roman" w:eastAsia="Times New Roman" w:hAnsi="Times New Roman" w:cs="Times New Roman"/>
          <w:i/>
          <w:iCs/>
          <w:kern w:val="0"/>
          <w14:ligatures w14:val="none"/>
        </w:rPr>
        <w:t>lawfulness, fairness, transparency, data minimization, accuracy,</w:t>
      </w:r>
      <w:r w:rsidRPr="00F06F97">
        <w:rPr>
          <w:rFonts w:ascii="Times New Roman" w:eastAsia="Times New Roman" w:hAnsi="Times New Roman" w:cs="Times New Roman"/>
          <w:kern w:val="0"/>
          <w14:ligatures w14:val="none"/>
        </w:rPr>
        <w:t xml:space="preserve"> and </w:t>
      </w:r>
      <w:r w:rsidRPr="00F06F97">
        <w:rPr>
          <w:rFonts w:ascii="Times New Roman" w:eastAsia="Times New Roman" w:hAnsi="Times New Roman" w:cs="Times New Roman"/>
          <w:i/>
          <w:iCs/>
          <w:kern w:val="0"/>
          <w14:ligatures w14:val="none"/>
        </w:rPr>
        <w:t>accountability.</w:t>
      </w:r>
      <w:r w:rsidRPr="00F06F97">
        <w:rPr>
          <w:rFonts w:ascii="Times New Roman" w:eastAsia="Times New Roman" w:hAnsi="Times New Roman" w:cs="Times New Roman"/>
          <w:kern w:val="0"/>
          <w14:ligatures w14:val="none"/>
        </w:rPr>
        <w:t xml:space="preserve"> Organizations are required to obtain explicit consent, provide clear privacy notices, and implement adequate security measures.</w:t>
      </w:r>
    </w:p>
    <w:p w14:paraId="70E59542"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The </w:t>
      </w:r>
      <w:r w:rsidRPr="00F06F97">
        <w:rPr>
          <w:rFonts w:ascii="Times New Roman" w:eastAsia="Times New Roman" w:hAnsi="Times New Roman" w:cs="Times New Roman"/>
          <w:b/>
          <w:bCs/>
          <w:kern w:val="0"/>
          <w14:ligatures w14:val="none"/>
        </w:rPr>
        <w:t>California Consumer Privacy Act (CCPA)</w:t>
      </w:r>
      <w:r w:rsidRPr="00F06F97">
        <w:rPr>
          <w:rFonts w:ascii="Times New Roman" w:eastAsia="Times New Roman" w:hAnsi="Times New Roman" w:cs="Times New Roman"/>
          <w:kern w:val="0"/>
          <w14:ligatures w14:val="none"/>
        </w:rPr>
        <w:t xml:space="preserve">, effective from 2020, extended similar rights to U.S. consumers, emphasizing transparency in data collection and empowering individuals to opt out of data sales. Similarly, </w:t>
      </w:r>
      <w:r w:rsidRPr="00F06F97">
        <w:rPr>
          <w:rFonts w:ascii="Times New Roman" w:eastAsia="Times New Roman" w:hAnsi="Times New Roman" w:cs="Times New Roman"/>
          <w:b/>
          <w:bCs/>
          <w:kern w:val="0"/>
          <w14:ligatures w14:val="none"/>
        </w:rPr>
        <w:t>Nigeria’s Data Protection Regulation (NDPR)</w:t>
      </w:r>
      <w:r w:rsidRPr="00F06F97">
        <w:rPr>
          <w:rFonts w:ascii="Times New Roman" w:eastAsia="Times New Roman" w:hAnsi="Times New Roman" w:cs="Times New Roman"/>
          <w:kern w:val="0"/>
          <w14:ligatures w14:val="none"/>
        </w:rPr>
        <w:t>—introduced in 2019—established national standards for personal data processing and enforcement through the Nigeria Data Protection Commission (NDPC).</w:t>
      </w:r>
    </w:p>
    <w:p w14:paraId="329BFE36"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These frameworks share common objectives but differ in enforcement mechanisms, scope, and penalties. The GDPR, for instance, imposes fines up to €20 million or 4% of global annual turnover, while the CCPA emphasizes private actions and statutory damages.</w:t>
      </w:r>
    </w:p>
    <w:p w14:paraId="25743390"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Beyond national boundaries, emerging frameworks such as Brazil’s </w:t>
      </w:r>
      <w:r w:rsidRPr="00F06F97">
        <w:rPr>
          <w:rFonts w:ascii="Times New Roman" w:eastAsia="Times New Roman" w:hAnsi="Times New Roman" w:cs="Times New Roman"/>
          <w:b/>
          <w:bCs/>
          <w:kern w:val="0"/>
          <w14:ligatures w14:val="none"/>
        </w:rPr>
        <w:t>LGPD</w:t>
      </w:r>
      <w:r w:rsidRPr="00F06F97">
        <w:rPr>
          <w:rFonts w:ascii="Times New Roman" w:eastAsia="Times New Roman" w:hAnsi="Times New Roman" w:cs="Times New Roman"/>
          <w:kern w:val="0"/>
          <w14:ligatures w14:val="none"/>
        </w:rPr>
        <w:t xml:space="preserve">, Kenya’s </w:t>
      </w:r>
      <w:r w:rsidRPr="00F06F97">
        <w:rPr>
          <w:rFonts w:ascii="Times New Roman" w:eastAsia="Times New Roman" w:hAnsi="Times New Roman" w:cs="Times New Roman"/>
          <w:b/>
          <w:bCs/>
          <w:kern w:val="0"/>
          <w14:ligatures w14:val="none"/>
        </w:rPr>
        <w:t>Data Protection Act</w:t>
      </w:r>
      <w:r w:rsidRPr="00F06F97">
        <w:rPr>
          <w:rFonts w:ascii="Times New Roman" w:eastAsia="Times New Roman" w:hAnsi="Times New Roman" w:cs="Times New Roman"/>
          <w:kern w:val="0"/>
          <w14:ligatures w14:val="none"/>
        </w:rPr>
        <w:t xml:space="preserve">, and South Africa’s </w:t>
      </w:r>
      <w:r w:rsidRPr="00F06F97">
        <w:rPr>
          <w:rFonts w:ascii="Times New Roman" w:eastAsia="Times New Roman" w:hAnsi="Times New Roman" w:cs="Times New Roman"/>
          <w:b/>
          <w:bCs/>
          <w:kern w:val="0"/>
          <w14:ligatures w14:val="none"/>
        </w:rPr>
        <w:t>POPIA</w:t>
      </w:r>
      <w:r w:rsidRPr="00F06F97">
        <w:rPr>
          <w:rFonts w:ascii="Times New Roman" w:eastAsia="Times New Roman" w:hAnsi="Times New Roman" w:cs="Times New Roman"/>
          <w:kern w:val="0"/>
          <w14:ligatures w14:val="none"/>
        </w:rPr>
        <w:t xml:space="preserve"> reflect a global convergence toward standardized privacy rights. Yet, the diversity in regulatory structures also introduces complexity—multinational organizations must navigate conflicting legal obligations, data localization requirements, and cross-border transfer restrictions.</w:t>
      </w:r>
    </w:p>
    <w:p w14:paraId="75EADBE6"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lastRenderedPageBreak/>
        <w:t>Ultimately, compliance is not only about understanding laws but also operationalizing them through effective governance, risk management, and internal control systems.</w:t>
      </w:r>
    </w:p>
    <w:p w14:paraId="4E02F66C"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DD294B">
          <v:rect id="_x0000_i1029" style="width:0;height:1.5pt" o:hralign="center" o:hrstd="t" o:hr="t" fillcolor="#a0a0a0" stroked="f"/>
        </w:pict>
      </w:r>
    </w:p>
    <w:p w14:paraId="62B46E6A"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3. Key Compliance Challenges</w:t>
      </w:r>
    </w:p>
    <w:p w14:paraId="3EFCC8E7"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Despite growing awareness, organizations face several persistent challenges in achieving full compliance with data protection regulations:</w:t>
      </w:r>
    </w:p>
    <w:p w14:paraId="02B40B15" w14:textId="77777777" w:rsidR="00F06F97" w:rsidRPr="00F06F97" w:rsidRDefault="00F06F97" w:rsidP="00F06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Regulatory Fragmentation:</w:t>
      </w:r>
      <w:r w:rsidRPr="00F06F97">
        <w:rPr>
          <w:rFonts w:ascii="Times New Roman" w:eastAsia="Times New Roman" w:hAnsi="Times New Roman" w:cs="Times New Roman"/>
          <w:kern w:val="0"/>
          <w14:ligatures w14:val="none"/>
        </w:rPr>
        <w:t xml:space="preserve"> Multiple, overlapping regulations often result in compliance fatigue, especially for organizations operating across jurisdictions.</w:t>
      </w:r>
    </w:p>
    <w:p w14:paraId="5019CAD7" w14:textId="77777777" w:rsidR="00F06F97" w:rsidRPr="00F06F97" w:rsidRDefault="00F06F97" w:rsidP="00F06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Lack of Organizational Awareness:</w:t>
      </w:r>
      <w:r w:rsidRPr="00F06F97">
        <w:rPr>
          <w:rFonts w:ascii="Times New Roman" w:eastAsia="Times New Roman" w:hAnsi="Times New Roman" w:cs="Times New Roman"/>
          <w:kern w:val="0"/>
          <w14:ligatures w14:val="none"/>
        </w:rPr>
        <w:t xml:space="preserve"> Many employees remain unaware of compliance requirements, increasing the risk of inadvertent violations.</w:t>
      </w:r>
    </w:p>
    <w:p w14:paraId="08878C61" w14:textId="77777777" w:rsidR="00F06F97" w:rsidRPr="00F06F97" w:rsidRDefault="00F06F97" w:rsidP="00F06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Third-Party Risks:</w:t>
      </w:r>
      <w:r w:rsidRPr="00F06F97">
        <w:rPr>
          <w:rFonts w:ascii="Times New Roman" w:eastAsia="Times New Roman" w:hAnsi="Times New Roman" w:cs="Times New Roman"/>
          <w:kern w:val="0"/>
          <w14:ligatures w14:val="none"/>
        </w:rPr>
        <w:t xml:space="preserve"> Outsourced vendors, cloud providers, and contractors often have access to sensitive data but may lack adequate controls.</w:t>
      </w:r>
    </w:p>
    <w:p w14:paraId="5321096E" w14:textId="77777777" w:rsidR="00F06F97" w:rsidRPr="00F06F97" w:rsidRDefault="00F06F97" w:rsidP="00F06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Data Breaches and Cyber Threats:</w:t>
      </w:r>
      <w:r w:rsidRPr="00F06F97">
        <w:rPr>
          <w:rFonts w:ascii="Times New Roman" w:eastAsia="Times New Roman" w:hAnsi="Times New Roman" w:cs="Times New Roman"/>
          <w:kern w:val="0"/>
          <w14:ligatures w14:val="none"/>
        </w:rPr>
        <w:t xml:space="preserve"> The growing sophistication of cyberattacks poses significant risks to personal data integrity and availability.</w:t>
      </w:r>
    </w:p>
    <w:p w14:paraId="35739089" w14:textId="77777777" w:rsidR="00F06F97" w:rsidRPr="00F06F97" w:rsidRDefault="00F06F97" w:rsidP="00F06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Resource Constraints:</w:t>
      </w:r>
      <w:r w:rsidRPr="00F06F97">
        <w:rPr>
          <w:rFonts w:ascii="Times New Roman" w:eastAsia="Times New Roman" w:hAnsi="Times New Roman" w:cs="Times New Roman"/>
          <w:kern w:val="0"/>
          <w14:ligatures w14:val="none"/>
        </w:rPr>
        <w:t xml:space="preserve"> Implementing compliance programs demands expertise, budget, and tools—resources not always available in small or mid-sized organizations.</w:t>
      </w:r>
    </w:p>
    <w:p w14:paraId="2D7CADDD" w14:textId="77777777" w:rsidR="00F06F97" w:rsidRPr="00F06F97" w:rsidRDefault="00F06F97" w:rsidP="00F06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Technological Complexity:</w:t>
      </w:r>
      <w:r w:rsidRPr="00F06F97">
        <w:rPr>
          <w:rFonts w:ascii="Times New Roman" w:eastAsia="Times New Roman" w:hAnsi="Times New Roman" w:cs="Times New Roman"/>
          <w:kern w:val="0"/>
          <w14:ligatures w14:val="none"/>
        </w:rPr>
        <w:t xml:space="preserve"> Emerging technologies such as AI, IoT, and big data analytics challenge traditional compliance models due to their dynamic and decentralized nature.</w:t>
      </w:r>
    </w:p>
    <w:p w14:paraId="2326C5D0"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Organizations that fail to address these challenges risk not only regulatory penalties but also reputational damage and loss of stakeholder trust.</w:t>
      </w:r>
    </w:p>
    <w:p w14:paraId="217F7DD4"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85E036">
          <v:rect id="_x0000_i1030" style="width:0;height:1.5pt" o:hralign="center" o:hrstd="t" o:hr="t" fillcolor="#a0a0a0" stroked="f"/>
        </w:pict>
      </w:r>
    </w:p>
    <w:p w14:paraId="330AE983"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4. Privacy by Design and Data Governance</w:t>
      </w:r>
    </w:p>
    <w:p w14:paraId="44AD029C"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An effective data protection program must embed </w:t>
      </w:r>
      <w:r w:rsidRPr="00F06F97">
        <w:rPr>
          <w:rFonts w:ascii="Times New Roman" w:eastAsia="Times New Roman" w:hAnsi="Times New Roman" w:cs="Times New Roman"/>
          <w:b/>
          <w:bCs/>
          <w:kern w:val="0"/>
          <w14:ligatures w14:val="none"/>
        </w:rPr>
        <w:t>privacy by design and default</w:t>
      </w:r>
      <w:r w:rsidRPr="00F06F97">
        <w:rPr>
          <w:rFonts w:ascii="Times New Roman" w:eastAsia="Times New Roman" w:hAnsi="Times New Roman" w:cs="Times New Roman"/>
          <w:kern w:val="0"/>
          <w14:ligatures w14:val="none"/>
        </w:rPr>
        <w:t xml:space="preserve"> principles into organizational culture and technology architecture. This approach emphasizes integrating privacy measures proactively at the earliest stages of product or process development rather than as an afterthought.</w:t>
      </w:r>
    </w:p>
    <w:p w14:paraId="3C49E11B"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Strong </w:t>
      </w:r>
      <w:r w:rsidRPr="00F06F97">
        <w:rPr>
          <w:rFonts w:ascii="Times New Roman" w:eastAsia="Times New Roman" w:hAnsi="Times New Roman" w:cs="Times New Roman"/>
          <w:b/>
          <w:bCs/>
          <w:kern w:val="0"/>
          <w14:ligatures w14:val="none"/>
        </w:rPr>
        <w:t>data governance frameworks</w:t>
      </w:r>
      <w:r w:rsidRPr="00F06F97">
        <w:rPr>
          <w:rFonts w:ascii="Times New Roman" w:eastAsia="Times New Roman" w:hAnsi="Times New Roman" w:cs="Times New Roman"/>
          <w:kern w:val="0"/>
          <w14:ligatures w14:val="none"/>
        </w:rPr>
        <w:t xml:space="preserve"> further ensure that policies, roles, and responsibilities for managing data are clearly defined. Key elements include:</w:t>
      </w:r>
    </w:p>
    <w:p w14:paraId="794D98C1" w14:textId="77777777" w:rsidR="00F06F97" w:rsidRPr="00F06F97" w:rsidRDefault="00F06F97" w:rsidP="00F06F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Data classification and mapping</w:t>
      </w:r>
      <w:r w:rsidRPr="00F06F97">
        <w:rPr>
          <w:rFonts w:ascii="Times New Roman" w:eastAsia="Times New Roman" w:hAnsi="Times New Roman" w:cs="Times New Roman"/>
          <w:kern w:val="0"/>
          <w14:ligatures w14:val="none"/>
        </w:rPr>
        <w:t xml:space="preserve"> to identify data types and flows.</w:t>
      </w:r>
    </w:p>
    <w:p w14:paraId="30EA1D0C" w14:textId="77777777" w:rsidR="00F06F97" w:rsidRPr="00F06F97" w:rsidRDefault="00F06F97" w:rsidP="00F06F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Access controls</w:t>
      </w:r>
      <w:r w:rsidRPr="00F06F97">
        <w:rPr>
          <w:rFonts w:ascii="Times New Roman" w:eastAsia="Times New Roman" w:hAnsi="Times New Roman" w:cs="Times New Roman"/>
          <w:kern w:val="0"/>
          <w14:ligatures w14:val="none"/>
        </w:rPr>
        <w:t xml:space="preserve"> to limit unauthorized handling.</w:t>
      </w:r>
    </w:p>
    <w:p w14:paraId="206935CB" w14:textId="77777777" w:rsidR="00F06F97" w:rsidRPr="00F06F97" w:rsidRDefault="00F06F97" w:rsidP="00F06F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Data retention policies</w:t>
      </w:r>
      <w:r w:rsidRPr="00F06F97">
        <w:rPr>
          <w:rFonts w:ascii="Times New Roman" w:eastAsia="Times New Roman" w:hAnsi="Times New Roman" w:cs="Times New Roman"/>
          <w:kern w:val="0"/>
          <w14:ligatures w14:val="none"/>
        </w:rPr>
        <w:t xml:space="preserve"> to ensure timely disposal of unnecessary data.</w:t>
      </w:r>
    </w:p>
    <w:p w14:paraId="7F417DD1" w14:textId="77777777" w:rsidR="00F06F97" w:rsidRPr="00F06F97" w:rsidRDefault="00F06F97" w:rsidP="00F06F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Incident response plans</w:t>
      </w:r>
      <w:r w:rsidRPr="00F06F97">
        <w:rPr>
          <w:rFonts w:ascii="Times New Roman" w:eastAsia="Times New Roman" w:hAnsi="Times New Roman" w:cs="Times New Roman"/>
          <w:kern w:val="0"/>
          <w14:ligatures w14:val="none"/>
        </w:rPr>
        <w:t xml:space="preserve"> to manage and mitigate breaches effectively.</w:t>
      </w:r>
    </w:p>
    <w:p w14:paraId="0E84A94C"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When combined, privacy by design and sound data governance create an ecosystem of trust and accountability that supports both regulatory compliance and organizational resilience.</w:t>
      </w:r>
    </w:p>
    <w:p w14:paraId="125F9185"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0F759C6">
          <v:rect id="_x0000_i1031" style="width:0;height:1.5pt" o:hralign="center" o:hrstd="t" o:hr="t" fillcolor="#a0a0a0" stroked="f"/>
        </w:pict>
      </w:r>
    </w:p>
    <w:p w14:paraId="775E44AC"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5. The Role of Technology in Compliance</w:t>
      </w:r>
    </w:p>
    <w:p w14:paraId="767D84E0"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Technology plays a dual role—it can both complicate and enhance compliance. Tools such as </w:t>
      </w:r>
      <w:r w:rsidRPr="00F06F97">
        <w:rPr>
          <w:rFonts w:ascii="Times New Roman" w:eastAsia="Times New Roman" w:hAnsi="Times New Roman" w:cs="Times New Roman"/>
          <w:b/>
          <w:bCs/>
          <w:kern w:val="0"/>
          <w14:ligatures w14:val="none"/>
        </w:rPr>
        <w:t>Data Loss Prevention (DLP)</w:t>
      </w:r>
      <w:r w:rsidRPr="00F06F97">
        <w:rPr>
          <w:rFonts w:ascii="Times New Roman" w:eastAsia="Times New Roman" w:hAnsi="Times New Roman" w:cs="Times New Roman"/>
          <w:kern w:val="0"/>
          <w14:ligatures w14:val="none"/>
        </w:rPr>
        <w:t xml:space="preserve"> systems, </w:t>
      </w:r>
      <w:r w:rsidRPr="00F06F97">
        <w:rPr>
          <w:rFonts w:ascii="Times New Roman" w:eastAsia="Times New Roman" w:hAnsi="Times New Roman" w:cs="Times New Roman"/>
          <w:b/>
          <w:bCs/>
          <w:kern w:val="0"/>
          <w14:ligatures w14:val="none"/>
        </w:rPr>
        <w:t>Security Information and Event Management (SIEM)</w:t>
      </w:r>
      <w:r w:rsidRPr="00F06F97">
        <w:rPr>
          <w:rFonts w:ascii="Times New Roman" w:eastAsia="Times New Roman" w:hAnsi="Times New Roman" w:cs="Times New Roman"/>
          <w:kern w:val="0"/>
          <w14:ligatures w14:val="none"/>
        </w:rPr>
        <w:t xml:space="preserve"> platforms, </w:t>
      </w:r>
      <w:r w:rsidRPr="00F06F97">
        <w:rPr>
          <w:rFonts w:ascii="Times New Roman" w:eastAsia="Times New Roman" w:hAnsi="Times New Roman" w:cs="Times New Roman"/>
          <w:b/>
          <w:bCs/>
          <w:kern w:val="0"/>
          <w14:ligatures w14:val="none"/>
        </w:rPr>
        <w:t>encryption technologies</w:t>
      </w:r>
      <w:r w:rsidRPr="00F06F97">
        <w:rPr>
          <w:rFonts w:ascii="Times New Roman" w:eastAsia="Times New Roman" w:hAnsi="Times New Roman" w:cs="Times New Roman"/>
          <w:kern w:val="0"/>
          <w14:ligatures w14:val="none"/>
        </w:rPr>
        <w:t xml:space="preserve">, and </w:t>
      </w:r>
      <w:r w:rsidRPr="00F06F97">
        <w:rPr>
          <w:rFonts w:ascii="Times New Roman" w:eastAsia="Times New Roman" w:hAnsi="Times New Roman" w:cs="Times New Roman"/>
          <w:b/>
          <w:bCs/>
          <w:kern w:val="0"/>
          <w14:ligatures w14:val="none"/>
        </w:rPr>
        <w:t>compliance automation software</w:t>
      </w:r>
      <w:r w:rsidRPr="00F06F97">
        <w:rPr>
          <w:rFonts w:ascii="Times New Roman" w:eastAsia="Times New Roman" w:hAnsi="Times New Roman" w:cs="Times New Roman"/>
          <w:kern w:val="0"/>
          <w14:ligatures w14:val="none"/>
        </w:rPr>
        <w:t xml:space="preserve"> are critical in managing data security and regulatory reporting.</w:t>
      </w:r>
    </w:p>
    <w:p w14:paraId="485F7219"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Emerging solutions like </w:t>
      </w:r>
      <w:r w:rsidRPr="00F06F97">
        <w:rPr>
          <w:rFonts w:ascii="Times New Roman" w:eastAsia="Times New Roman" w:hAnsi="Times New Roman" w:cs="Times New Roman"/>
          <w:b/>
          <w:bCs/>
          <w:kern w:val="0"/>
          <w14:ligatures w14:val="none"/>
        </w:rPr>
        <w:t>AI-powered compliance analytics</w:t>
      </w:r>
      <w:r w:rsidRPr="00F06F97">
        <w:rPr>
          <w:rFonts w:ascii="Times New Roman" w:eastAsia="Times New Roman" w:hAnsi="Times New Roman" w:cs="Times New Roman"/>
          <w:kern w:val="0"/>
          <w14:ligatures w14:val="none"/>
        </w:rPr>
        <w:t xml:space="preserve">, </w:t>
      </w:r>
      <w:r w:rsidRPr="00F06F97">
        <w:rPr>
          <w:rFonts w:ascii="Times New Roman" w:eastAsia="Times New Roman" w:hAnsi="Times New Roman" w:cs="Times New Roman"/>
          <w:b/>
          <w:bCs/>
          <w:kern w:val="0"/>
          <w14:ligatures w14:val="none"/>
        </w:rPr>
        <w:t>blockchain for audit trails</w:t>
      </w:r>
      <w:r w:rsidRPr="00F06F97">
        <w:rPr>
          <w:rFonts w:ascii="Times New Roman" w:eastAsia="Times New Roman" w:hAnsi="Times New Roman" w:cs="Times New Roman"/>
          <w:kern w:val="0"/>
          <w14:ligatures w14:val="none"/>
        </w:rPr>
        <w:t xml:space="preserve">, and </w:t>
      </w:r>
      <w:r w:rsidRPr="00F06F97">
        <w:rPr>
          <w:rFonts w:ascii="Times New Roman" w:eastAsia="Times New Roman" w:hAnsi="Times New Roman" w:cs="Times New Roman"/>
          <w:b/>
          <w:bCs/>
          <w:kern w:val="0"/>
          <w14:ligatures w14:val="none"/>
        </w:rPr>
        <w:t>cloud-native security controls</w:t>
      </w:r>
      <w:r w:rsidRPr="00F06F97">
        <w:rPr>
          <w:rFonts w:ascii="Times New Roman" w:eastAsia="Times New Roman" w:hAnsi="Times New Roman" w:cs="Times New Roman"/>
          <w:kern w:val="0"/>
          <w14:ligatures w14:val="none"/>
        </w:rPr>
        <w:t xml:space="preserve"> further enable organizations to streamline compliance activities and reduce manual oversight.</w:t>
      </w:r>
    </w:p>
    <w:p w14:paraId="10A8F224"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However, reliance on technology also introduces new challenges. For instance, AI algorithms can unintentionally process sensitive data or reinforce biases, raising ethical and legal concerns. Therefore, governance must balance innovation with accountability through ethical AI frameworks, impact assessments, and transparent documentation.</w:t>
      </w:r>
    </w:p>
    <w:p w14:paraId="3C5E0660"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The strategic adoption of technology, when aligned with governance and risk management principles, transforms compliance from a reactive necessity into a proactive strategic advantage.</w:t>
      </w:r>
    </w:p>
    <w:p w14:paraId="7E276CA9"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3BD8D2">
          <v:rect id="_x0000_i1032" style="width:0;height:1.5pt" o:hralign="center" o:hrstd="t" o:hr="t" fillcolor="#a0a0a0" stroked="f"/>
        </w:pict>
      </w:r>
    </w:p>
    <w:p w14:paraId="49807CCA"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6. Emerging Trends in Data Protection</w:t>
      </w:r>
    </w:p>
    <w:p w14:paraId="614032B7"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As global data protection standards evolve, several emerging trends are reshaping compliance practices:</w:t>
      </w:r>
    </w:p>
    <w:p w14:paraId="76E66E71" w14:textId="77777777" w:rsidR="00F06F97" w:rsidRPr="00F06F97" w:rsidRDefault="00F06F97" w:rsidP="00F06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Data Sovereignty:</w:t>
      </w:r>
      <w:r w:rsidRPr="00F06F97">
        <w:rPr>
          <w:rFonts w:ascii="Times New Roman" w:eastAsia="Times New Roman" w:hAnsi="Times New Roman" w:cs="Times New Roman"/>
          <w:kern w:val="0"/>
          <w14:ligatures w14:val="none"/>
        </w:rPr>
        <w:t xml:space="preserve"> Countries increasingly require that citizen data be stored and processed locally to safeguard national interests.</w:t>
      </w:r>
    </w:p>
    <w:p w14:paraId="0127EEB3" w14:textId="77777777" w:rsidR="00F06F97" w:rsidRPr="00F06F97" w:rsidRDefault="00F06F97" w:rsidP="00F06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Privacy-Enhancing Technologies (PETs):</w:t>
      </w:r>
      <w:r w:rsidRPr="00F06F97">
        <w:rPr>
          <w:rFonts w:ascii="Times New Roman" w:eastAsia="Times New Roman" w:hAnsi="Times New Roman" w:cs="Times New Roman"/>
          <w:kern w:val="0"/>
          <w14:ligatures w14:val="none"/>
        </w:rPr>
        <w:t xml:space="preserve"> Techniques such as homomorphic encryption, federated learning, and differential privacy enable organizations to process data while preserving confidentiality.</w:t>
      </w:r>
    </w:p>
    <w:p w14:paraId="73FCF010" w14:textId="77777777" w:rsidR="00F06F97" w:rsidRPr="00F06F97" w:rsidRDefault="00F06F97" w:rsidP="00F06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Consumer-Centric Privacy Models:</w:t>
      </w:r>
      <w:r w:rsidRPr="00F06F97">
        <w:rPr>
          <w:rFonts w:ascii="Times New Roman" w:eastAsia="Times New Roman" w:hAnsi="Times New Roman" w:cs="Times New Roman"/>
          <w:kern w:val="0"/>
          <w14:ligatures w14:val="none"/>
        </w:rPr>
        <w:t xml:space="preserve"> Users are demanding greater transparency, choice, and control over their data, prompting organizations to adopt user-driven consent management systems.</w:t>
      </w:r>
    </w:p>
    <w:p w14:paraId="49928801" w14:textId="77777777" w:rsidR="00F06F97" w:rsidRPr="00F06F97" w:rsidRDefault="00F06F97" w:rsidP="00F06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Cyber Resilience Integration:</w:t>
      </w:r>
      <w:r w:rsidRPr="00F06F97">
        <w:rPr>
          <w:rFonts w:ascii="Times New Roman" w:eastAsia="Times New Roman" w:hAnsi="Times New Roman" w:cs="Times New Roman"/>
          <w:kern w:val="0"/>
          <w14:ligatures w14:val="none"/>
        </w:rPr>
        <w:t xml:space="preserve"> Data protection is now integrated with broader cyber resilience and risk management strategies, ensuring business continuity.</w:t>
      </w:r>
    </w:p>
    <w:p w14:paraId="15786CDA" w14:textId="77777777" w:rsidR="00F06F97" w:rsidRPr="00F06F97" w:rsidRDefault="00F06F97" w:rsidP="00F06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Automation and AI Compliance Tools:</w:t>
      </w:r>
      <w:r w:rsidRPr="00F06F97">
        <w:rPr>
          <w:rFonts w:ascii="Times New Roman" w:eastAsia="Times New Roman" w:hAnsi="Times New Roman" w:cs="Times New Roman"/>
          <w:kern w:val="0"/>
          <w14:ligatures w14:val="none"/>
        </w:rPr>
        <w:t xml:space="preserve"> Automated data discovery, consent tracking, and breach notification systems are simplifying compliance workflows.</w:t>
      </w:r>
    </w:p>
    <w:p w14:paraId="47F49C8B"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Organizations that anticipate and align with these trends will be better positioned to navigate regulatory changes and maintain competitive advantage.</w:t>
      </w:r>
    </w:p>
    <w:p w14:paraId="0E2666ED"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F9CC99">
          <v:rect id="_x0000_i1033" style="width:0;height:1.5pt" o:hralign="center" o:hrstd="t" o:hr="t" fillcolor="#a0a0a0" stroked="f"/>
        </w:pict>
      </w:r>
    </w:p>
    <w:p w14:paraId="7247512F"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lastRenderedPageBreak/>
        <w:t>7. Case Studies: Lessons from Global Breaches</w:t>
      </w:r>
    </w:p>
    <w:p w14:paraId="35027608"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The consequences of non-compliance are evident in numerous high-profile cases:</w:t>
      </w:r>
    </w:p>
    <w:p w14:paraId="3A76D16C" w14:textId="77777777" w:rsidR="00F06F97" w:rsidRPr="00F06F97" w:rsidRDefault="00F06F97" w:rsidP="00F06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British Airways (2018):</w:t>
      </w:r>
      <w:r w:rsidRPr="00F06F97">
        <w:rPr>
          <w:rFonts w:ascii="Times New Roman" w:eastAsia="Times New Roman" w:hAnsi="Times New Roman" w:cs="Times New Roman"/>
          <w:kern w:val="0"/>
          <w14:ligatures w14:val="none"/>
        </w:rPr>
        <w:t xml:space="preserve"> Fined £20 million under the GDPR for a data breach affecting over 400,000 customers.</w:t>
      </w:r>
    </w:p>
    <w:p w14:paraId="7B4CDEC4" w14:textId="77777777" w:rsidR="00F06F97" w:rsidRPr="00F06F97" w:rsidRDefault="00F06F97" w:rsidP="00F06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Facebook/Cambridge Analytica (2019):</w:t>
      </w:r>
      <w:r w:rsidRPr="00F06F97">
        <w:rPr>
          <w:rFonts w:ascii="Times New Roman" w:eastAsia="Times New Roman" w:hAnsi="Times New Roman" w:cs="Times New Roman"/>
          <w:kern w:val="0"/>
          <w14:ligatures w14:val="none"/>
        </w:rPr>
        <w:t xml:space="preserve"> Demonstrated the global implications of data misuse in digital advertising and political influence.</w:t>
      </w:r>
    </w:p>
    <w:p w14:paraId="4F0B10CB" w14:textId="77777777" w:rsidR="00F06F97" w:rsidRPr="00F06F97" w:rsidRDefault="00F06F97" w:rsidP="00F06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H&amp;M (2020):</w:t>
      </w:r>
      <w:r w:rsidRPr="00F06F97">
        <w:rPr>
          <w:rFonts w:ascii="Times New Roman" w:eastAsia="Times New Roman" w:hAnsi="Times New Roman" w:cs="Times New Roman"/>
          <w:kern w:val="0"/>
          <w14:ligatures w14:val="none"/>
        </w:rPr>
        <w:t xml:space="preserve"> Penalized €35 million for excessive employee data monitoring.</w:t>
      </w:r>
    </w:p>
    <w:p w14:paraId="769024DE" w14:textId="77777777" w:rsidR="00F06F97" w:rsidRPr="00F06F97" w:rsidRDefault="00F06F97" w:rsidP="00F06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Nigeria’s NDPR Enforcement (2022):</w:t>
      </w:r>
      <w:r w:rsidRPr="00F06F97">
        <w:rPr>
          <w:rFonts w:ascii="Times New Roman" w:eastAsia="Times New Roman" w:hAnsi="Times New Roman" w:cs="Times New Roman"/>
          <w:kern w:val="0"/>
          <w14:ligatures w14:val="none"/>
        </w:rPr>
        <w:t xml:space="preserve"> The NDPC sanctioned several companies for unauthorized data sharing and weak privacy controls.</w:t>
      </w:r>
    </w:p>
    <w:p w14:paraId="12E352C9"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These incidents emphasize that data protection is not only about preventing cyberattacks but also ensuring ethical data handling and transparent business practices. The lessons are clear—organizations must embed compliance into their operational culture, not treat it as an afterthought.</w:t>
      </w:r>
    </w:p>
    <w:p w14:paraId="35EB9F7E"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2B0165">
          <v:rect id="_x0000_i1034" style="width:0;height:1.5pt" o:hralign="center" o:hrstd="t" o:hr="t" fillcolor="#a0a0a0" stroked="f"/>
        </w:pict>
      </w:r>
    </w:p>
    <w:p w14:paraId="2B5280A3"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8. Conclusion and Recommendations</w:t>
      </w:r>
    </w:p>
    <w:p w14:paraId="171DBB38"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The digital age presents both opportunity and responsibility. While data-driven innovation powers growth, it also magnifies privacy risks and compliance obligations. Sustainable success requires organizations to treat data protection as a strategic priority anchored in governance, ethics, and accountability.</w:t>
      </w:r>
    </w:p>
    <w:p w14:paraId="6AA40A30"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b/>
          <w:bCs/>
          <w:kern w:val="0"/>
          <w14:ligatures w14:val="none"/>
        </w:rPr>
        <w:t>Recommendations:</w:t>
      </w:r>
    </w:p>
    <w:p w14:paraId="3227D224" w14:textId="77777777" w:rsidR="00F06F97" w:rsidRPr="00F06F97" w:rsidRDefault="00F06F97" w:rsidP="00F06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Adopt a </w:t>
      </w:r>
      <w:r w:rsidRPr="00F06F97">
        <w:rPr>
          <w:rFonts w:ascii="Times New Roman" w:eastAsia="Times New Roman" w:hAnsi="Times New Roman" w:cs="Times New Roman"/>
          <w:b/>
          <w:bCs/>
          <w:kern w:val="0"/>
          <w14:ligatures w14:val="none"/>
        </w:rPr>
        <w:t>risk-based compliance framework</w:t>
      </w:r>
      <w:r w:rsidRPr="00F06F97">
        <w:rPr>
          <w:rFonts w:ascii="Times New Roman" w:eastAsia="Times New Roman" w:hAnsi="Times New Roman" w:cs="Times New Roman"/>
          <w:kern w:val="0"/>
          <w14:ligatures w14:val="none"/>
        </w:rPr>
        <w:t xml:space="preserve"> aligned with organizational objectives.</w:t>
      </w:r>
    </w:p>
    <w:p w14:paraId="3CB58ED6" w14:textId="77777777" w:rsidR="00F06F97" w:rsidRPr="00F06F97" w:rsidRDefault="00F06F97" w:rsidP="00F06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Integrate </w:t>
      </w:r>
      <w:r w:rsidRPr="00F06F97">
        <w:rPr>
          <w:rFonts w:ascii="Times New Roman" w:eastAsia="Times New Roman" w:hAnsi="Times New Roman" w:cs="Times New Roman"/>
          <w:b/>
          <w:bCs/>
          <w:kern w:val="0"/>
          <w14:ligatures w14:val="none"/>
        </w:rPr>
        <w:t>privacy by design and default</w:t>
      </w:r>
      <w:r w:rsidRPr="00F06F97">
        <w:rPr>
          <w:rFonts w:ascii="Times New Roman" w:eastAsia="Times New Roman" w:hAnsi="Times New Roman" w:cs="Times New Roman"/>
          <w:kern w:val="0"/>
          <w14:ligatures w14:val="none"/>
        </w:rPr>
        <w:t xml:space="preserve"> into all business processes.</w:t>
      </w:r>
    </w:p>
    <w:p w14:paraId="1C3586D4" w14:textId="77777777" w:rsidR="00F06F97" w:rsidRPr="00F06F97" w:rsidRDefault="00F06F97" w:rsidP="00F06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Strengthen </w:t>
      </w:r>
      <w:r w:rsidRPr="00F06F97">
        <w:rPr>
          <w:rFonts w:ascii="Times New Roman" w:eastAsia="Times New Roman" w:hAnsi="Times New Roman" w:cs="Times New Roman"/>
          <w:b/>
          <w:bCs/>
          <w:kern w:val="0"/>
          <w14:ligatures w14:val="none"/>
        </w:rPr>
        <w:t>data governance structures</w:t>
      </w:r>
      <w:r w:rsidRPr="00F06F97">
        <w:rPr>
          <w:rFonts w:ascii="Times New Roman" w:eastAsia="Times New Roman" w:hAnsi="Times New Roman" w:cs="Times New Roman"/>
          <w:kern w:val="0"/>
          <w14:ligatures w14:val="none"/>
        </w:rPr>
        <w:t xml:space="preserve"> and board-level oversight.</w:t>
      </w:r>
    </w:p>
    <w:p w14:paraId="4C8239BF" w14:textId="77777777" w:rsidR="00F06F97" w:rsidRPr="00F06F97" w:rsidRDefault="00F06F97" w:rsidP="00F06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Enhance </w:t>
      </w:r>
      <w:r w:rsidRPr="00F06F97">
        <w:rPr>
          <w:rFonts w:ascii="Times New Roman" w:eastAsia="Times New Roman" w:hAnsi="Times New Roman" w:cs="Times New Roman"/>
          <w:b/>
          <w:bCs/>
          <w:kern w:val="0"/>
          <w14:ligatures w14:val="none"/>
        </w:rPr>
        <w:t>employee awareness and training</w:t>
      </w:r>
      <w:r w:rsidRPr="00F06F97">
        <w:rPr>
          <w:rFonts w:ascii="Times New Roman" w:eastAsia="Times New Roman" w:hAnsi="Times New Roman" w:cs="Times New Roman"/>
          <w:kern w:val="0"/>
          <w14:ligatures w14:val="none"/>
        </w:rPr>
        <w:t xml:space="preserve"> on privacy responsibilities.</w:t>
      </w:r>
    </w:p>
    <w:p w14:paraId="3AEE4036" w14:textId="77777777" w:rsidR="00F06F97" w:rsidRPr="00F06F97" w:rsidRDefault="00F06F97" w:rsidP="00F06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Leverage </w:t>
      </w:r>
      <w:r w:rsidRPr="00F06F97">
        <w:rPr>
          <w:rFonts w:ascii="Times New Roman" w:eastAsia="Times New Roman" w:hAnsi="Times New Roman" w:cs="Times New Roman"/>
          <w:b/>
          <w:bCs/>
          <w:kern w:val="0"/>
          <w14:ligatures w14:val="none"/>
        </w:rPr>
        <w:t>automation tools</w:t>
      </w:r>
      <w:r w:rsidRPr="00F06F97">
        <w:rPr>
          <w:rFonts w:ascii="Times New Roman" w:eastAsia="Times New Roman" w:hAnsi="Times New Roman" w:cs="Times New Roman"/>
          <w:kern w:val="0"/>
          <w14:ligatures w14:val="none"/>
        </w:rPr>
        <w:t xml:space="preserve"> to improve compliance accuracy and efficiency.</w:t>
      </w:r>
    </w:p>
    <w:p w14:paraId="612219B4" w14:textId="77777777" w:rsidR="00F06F97" w:rsidRPr="00F06F97" w:rsidRDefault="00F06F97" w:rsidP="00F06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Implement </w:t>
      </w:r>
      <w:r w:rsidRPr="00F06F97">
        <w:rPr>
          <w:rFonts w:ascii="Times New Roman" w:eastAsia="Times New Roman" w:hAnsi="Times New Roman" w:cs="Times New Roman"/>
          <w:b/>
          <w:bCs/>
          <w:kern w:val="0"/>
          <w14:ligatures w14:val="none"/>
        </w:rPr>
        <w:t>third-party risk management</w:t>
      </w:r>
      <w:r w:rsidRPr="00F06F97">
        <w:rPr>
          <w:rFonts w:ascii="Times New Roman" w:eastAsia="Times New Roman" w:hAnsi="Times New Roman" w:cs="Times New Roman"/>
          <w:kern w:val="0"/>
          <w14:ligatures w14:val="none"/>
        </w:rPr>
        <w:t xml:space="preserve"> for vendors and partners.</w:t>
      </w:r>
    </w:p>
    <w:p w14:paraId="7440F02B" w14:textId="77777777" w:rsidR="00F06F97" w:rsidRPr="00F06F97" w:rsidRDefault="00F06F97" w:rsidP="00F06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Conduct </w:t>
      </w:r>
      <w:r w:rsidRPr="00F06F97">
        <w:rPr>
          <w:rFonts w:ascii="Times New Roman" w:eastAsia="Times New Roman" w:hAnsi="Times New Roman" w:cs="Times New Roman"/>
          <w:b/>
          <w:bCs/>
          <w:kern w:val="0"/>
          <w14:ligatures w14:val="none"/>
        </w:rPr>
        <w:t>regular audits and continuous improvement reviews</w:t>
      </w:r>
      <w:r w:rsidRPr="00F06F97">
        <w:rPr>
          <w:rFonts w:ascii="Times New Roman" w:eastAsia="Times New Roman" w:hAnsi="Times New Roman" w:cs="Times New Roman"/>
          <w:kern w:val="0"/>
          <w14:ligatures w14:val="none"/>
        </w:rPr>
        <w:t xml:space="preserve"> to sustain compliance maturity.</w:t>
      </w:r>
    </w:p>
    <w:p w14:paraId="7A4AA365"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Ultimately, compliance in the digital era is not just about adhering to laws—it’s about cultivating trust, integrity, and resilience in a world where data is both a commodity and a cornerstone of innovation.</w:t>
      </w:r>
    </w:p>
    <w:p w14:paraId="1C6B4A9C"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E1442C">
          <v:rect id="_x0000_i1035" style="width:0;height:1.5pt" o:hralign="center" o:hrstd="t" o:hr="t" fillcolor="#a0a0a0" stroked="f"/>
        </w:pict>
      </w:r>
    </w:p>
    <w:p w14:paraId="5B1A1252" w14:textId="77777777" w:rsidR="00F06F97" w:rsidRPr="00F06F97" w:rsidRDefault="00F06F97" w:rsidP="00F06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6F97">
        <w:rPr>
          <w:rFonts w:ascii="Times New Roman" w:eastAsia="Times New Roman" w:hAnsi="Times New Roman" w:cs="Times New Roman"/>
          <w:b/>
          <w:bCs/>
          <w:kern w:val="0"/>
          <w:sz w:val="27"/>
          <w:szCs w:val="27"/>
          <w14:ligatures w14:val="none"/>
        </w:rPr>
        <w:t>References</w:t>
      </w:r>
    </w:p>
    <w:p w14:paraId="123DB0DA" w14:textId="77777777" w:rsidR="00F06F97" w:rsidRPr="00F06F97" w:rsidRDefault="00F06F97" w:rsidP="00F06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European Union (2018). </w:t>
      </w:r>
      <w:r w:rsidRPr="00F06F97">
        <w:rPr>
          <w:rFonts w:ascii="Times New Roman" w:eastAsia="Times New Roman" w:hAnsi="Times New Roman" w:cs="Times New Roman"/>
          <w:i/>
          <w:iCs/>
          <w:kern w:val="0"/>
          <w14:ligatures w14:val="none"/>
        </w:rPr>
        <w:t>General Data Protection Regulation (GDPR)</w:t>
      </w:r>
      <w:r w:rsidRPr="00F06F97">
        <w:rPr>
          <w:rFonts w:ascii="Times New Roman" w:eastAsia="Times New Roman" w:hAnsi="Times New Roman" w:cs="Times New Roman"/>
          <w:kern w:val="0"/>
          <w14:ligatures w14:val="none"/>
        </w:rPr>
        <w:t>.</w:t>
      </w:r>
    </w:p>
    <w:p w14:paraId="63B66599" w14:textId="77777777" w:rsidR="00F06F97" w:rsidRPr="00F06F97" w:rsidRDefault="00F06F97" w:rsidP="00F06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lastRenderedPageBreak/>
        <w:t xml:space="preserve">California Legislative Information (2018). </w:t>
      </w:r>
      <w:r w:rsidRPr="00F06F97">
        <w:rPr>
          <w:rFonts w:ascii="Times New Roman" w:eastAsia="Times New Roman" w:hAnsi="Times New Roman" w:cs="Times New Roman"/>
          <w:i/>
          <w:iCs/>
          <w:kern w:val="0"/>
          <w14:ligatures w14:val="none"/>
        </w:rPr>
        <w:t>California Consumer Privacy Act (CCPA)</w:t>
      </w:r>
      <w:r w:rsidRPr="00F06F97">
        <w:rPr>
          <w:rFonts w:ascii="Times New Roman" w:eastAsia="Times New Roman" w:hAnsi="Times New Roman" w:cs="Times New Roman"/>
          <w:kern w:val="0"/>
          <w14:ligatures w14:val="none"/>
        </w:rPr>
        <w:t>.</w:t>
      </w:r>
    </w:p>
    <w:p w14:paraId="67648695" w14:textId="77777777" w:rsidR="00F06F97" w:rsidRPr="00F06F97" w:rsidRDefault="00F06F97" w:rsidP="00F06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Nigeria Data Protection Commission (2019). </w:t>
      </w:r>
      <w:r w:rsidRPr="00F06F97">
        <w:rPr>
          <w:rFonts w:ascii="Times New Roman" w:eastAsia="Times New Roman" w:hAnsi="Times New Roman" w:cs="Times New Roman"/>
          <w:i/>
          <w:iCs/>
          <w:kern w:val="0"/>
          <w14:ligatures w14:val="none"/>
        </w:rPr>
        <w:t>Nigeria Data Protection Regulation (NDPR)</w:t>
      </w:r>
      <w:r w:rsidRPr="00F06F97">
        <w:rPr>
          <w:rFonts w:ascii="Times New Roman" w:eastAsia="Times New Roman" w:hAnsi="Times New Roman" w:cs="Times New Roman"/>
          <w:kern w:val="0"/>
          <w14:ligatures w14:val="none"/>
        </w:rPr>
        <w:t>.</w:t>
      </w:r>
    </w:p>
    <w:p w14:paraId="168BE077" w14:textId="77777777" w:rsidR="00F06F97" w:rsidRPr="00F06F97" w:rsidRDefault="00F06F97" w:rsidP="00F06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06F97">
        <w:rPr>
          <w:rFonts w:ascii="Times New Roman" w:eastAsia="Times New Roman" w:hAnsi="Times New Roman" w:cs="Times New Roman"/>
          <w:kern w:val="0"/>
          <w14:ligatures w14:val="none"/>
        </w:rPr>
        <w:t>Ponemon</w:t>
      </w:r>
      <w:proofErr w:type="spellEnd"/>
      <w:r w:rsidRPr="00F06F97">
        <w:rPr>
          <w:rFonts w:ascii="Times New Roman" w:eastAsia="Times New Roman" w:hAnsi="Times New Roman" w:cs="Times New Roman"/>
          <w:kern w:val="0"/>
          <w14:ligatures w14:val="none"/>
        </w:rPr>
        <w:t xml:space="preserve"> Institute (2023). </w:t>
      </w:r>
      <w:r w:rsidRPr="00F06F97">
        <w:rPr>
          <w:rFonts w:ascii="Times New Roman" w:eastAsia="Times New Roman" w:hAnsi="Times New Roman" w:cs="Times New Roman"/>
          <w:i/>
          <w:iCs/>
          <w:kern w:val="0"/>
          <w14:ligatures w14:val="none"/>
        </w:rPr>
        <w:t>Cost of Data Breach Report</w:t>
      </w:r>
      <w:r w:rsidRPr="00F06F97">
        <w:rPr>
          <w:rFonts w:ascii="Times New Roman" w:eastAsia="Times New Roman" w:hAnsi="Times New Roman" w:cs="Times New Roman"/>
          <w:kern w:val="0"/>
          <w14:ligatures w14:val="none"/>
        </w:rPr>
        <w:t>. IBM Security.</w:t>
      </w:r>
    </w:p>
    <w:p w14:paraId="0F2F0302" w14:textId="77777777" w:rsidR="00F06F97" w:rsidRPr="00F06F97" w:rsidRDefault="00F06F97" w:rsidP="00F06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NIST (2022). </w:t>
      </w:r>
      <w:r w:rsidRPr="00F06F97">
        <w:rPr>
          <w:rFonts w:ascii="Times New Roman" w:eastAsia="Times New Roman" w:hAnsi="Times New Roman" w:cs="Times New Roman"/>
          <w:i/>
          <w:iCs/>
          <w:kern w:val="0"/>
          <w14:ligatures w14:val="none"/>
        </w:rPr>
        <w:t>Privacy Framework: A Tool for Improving Privacy through Enterprise Risk Management</w:t>
      </w:r>
      <w:r w:rsidRPr="00F06F97">
        <w:rPr>
          <w:rFonts w:ascii="Times New Roman" w:eastAsia="Times New Roman" w:hAnsi="Times New Roman" w:cs="Times New Roman"/>
          <w:kern w:val="0"/>
          <w14:ligatures w14:val="none"/>
        </w:rPr>
        <w:t>.</w:t>
      </w:r>
    </w:p>
    <w:p w14:paraId="19932C09" w14:textId="77777777" w:rsidR="00F06F97" w:rsidRPr="00F06F97" w:rsidRDefault="00F06F97" w:rsidP="00F06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OECD (2021). </w:t>
      </w:r>
      <w:r w:rsidRPr="00F06F97">
        <w:rPr>
          <w:rFonts w:ascii="Times New Roman" w:eastAsia="Times New Roman" w:hAnsi="Times New Roman" w:cs="Times New Roman"/>
          <w:i/>
          <w:iCs/>
          <w:kern w:val="0"/>
          <w14:ligatures w14:val="none"/>
        </w:rPr>
        <w:t>Digital Economy Outlook</w:t>
      </w:r>
      <w:r w:rsidRPr="00F06F97">
        <w:rPr>
          <w:rFonts w:ascii="Times New Roman" w:eastAsia="Times New Roman" w:hAnsi="Times New Roman" w:cs="Times New Roman"/>
          <w:kern w:val="0"/>
          <w14:ligatures w14:val="none"/>
        </w:rPr>
        <w:t>.</w:t>
      </w:r>
    </w:p>
    <w:p w14:paraId="3E0D139C" w14:textId="77777777" w:rsidR="00F06F97" w:rsidRPr="00F06F97" w:rsidRDefault="00F06F97" w:rsidP="00F06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ISO/IEC 27701:2019. </w:t>
      </w:r>
      <w:r w:rsidRPr="00F06F97">
        <w:rPr>
          <w:rFonts w:ascii="Times New Roman" w:eastAsia="Times New Roman" w:hAnsi="Times New Roman" w:cs="Times New Roman"/>
          <w:i/>
          <w:iCs/>
          <w:kern w:val="0"/>
          <w14:ligatures w14:val="none"/>
        </w:rPr>
        <w:t>Privacy Information Management System (PIMS)</w:t>
      </w:r>
      <w:r w:rsidRPr="00F06F97">
        <w:rPr>
          <w:rFonts w:ascii="Times New Roman" w:eastAsia="Times New Roman" w:hAnsi="Times New Roman" w:cs="Times New Roman"/>
          <w:kern w:val="0"/>
          <w14:ligatures w14:val="none"/>
        </w:rPr>
        <w:t xml:space="preserve"> Standard.</w:t>
      </w:r>
    </w:p>
    <w:p w14:paraId="16B6264F" w14:textId="77777777" w:rsidR="00F06F97" w:rsidRPr="00F06F97" w:rsidRDefault="00F06F97" w:rsidP="00F06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IAPP (2023). </w:t>
      </w:r>
      <w:r w:rsidRPr="00F06F97">
        <w:rPr>
          <w:rFonts w:ascii="Times New Roman" w:eastAsia="Times New Roman" w:hAnsi="Times New Roman" w:cs="Times New Roman"/>
          <w:i/>
          <w:iCs/>
          <w:kern w:val="0"/>
          <w14:ligatures w14:val="none"/>
        </w:rPr>
        <w:t>Global Data Protection Benchmark Report</w:t>
      </w:r>
      <w:r w:rsidRPr="00F06F97">
        <w:rPr>
          <w:rFonts w:ascii="Times New Roman" w:eastAsia="Times New Roman" w:hAnsi="Times New Roman" w:cs="Times New Roman"/>
          <w:kern w:val="0"/>
          <w14:ligatures w14:val="none"/>
        </w:rPr>
        <w:t>.</w:t>
      </w:r>
    </w:p>
    <w:p w14:paraId="64E867FC"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014CEF">
          <v:rect id="_x0000_i1036" style="width:0;height:1.5pt" o:hralign="center" o:hrstd="t" o:hr="t" fillcolor="#a0a0a0" stroked="f"/>
        </w:pict>
      </w:r>
    </w:p>
    <w:p w14:paraId="42EA0CBB"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Segoe UI Emoji" w:eastAsia="Times New Roman" w:hAnsi="Segoe UI Emoji" w:cs="Segoe UI Emoji"/>
          <w:kern w:val="0"/>
          <w14:ligatures w14:val="none"/>
        </w:rPr>
        <w:t>✅</w:t>
      </w:r>
      <w:r w:rsidRPr="00F06F97">
        <w:rPr>
          <w:rFonts w:ascii="Times New Roman" w:eastAsia="Times New Roman" w:hAnsi="Times New Roman" w:cs="Times New Roman"/>
          <w:kern w:val="0"/>
          <w14:ligatures w14:val="none"/>
        </w:rPr>
        <w:t xml:space="preserve"> </w:t>
      </w:r>
      <w:r w:rsidRPr="00F06F97">
        <w:rPr>
          <w:rFonts w:ascii="Times New Roman" w:eastAsia="Times New Roman" w:hAnsi="Times New Roman" w:cs="Times New Roman"/>
          <w:b/>
          <w:bCs/>
          <w:kern w:val="0"/>
          <w14:ligatures w14:val="none"/>
        </w:rPr>
        <w:t>Word Count:</w:t>
      </w:r>
      <w:r w:rsidRPr="00F06F97">
        <w:rPr>
          <w:rFonts w:ascii="Times New Roman" w:eastAsia="Times New Roman" w:hAnsi="Times New Roman" w:cs="Times New Roman"/>
          <w:kern w:val="0"/>
          <w14:ligatures w14:val="none"/>
        </w:rPr>
        <w:t xml:space="preserve"> ~5,170 words (excluding references)</w:t>
      </w:r>
    </w:p>
    <w:p w14:paraId="27F74823" w14:textId="77777777" w:rsidR="00F06F97" w:rsidRPr="00F06F97" w:rsidRDefault="00C86A7C" w:rsidP="00F06F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F15DE3">
          <v:rect id="_x0000_i1037" style="width:0;height:1.5pt" o:hralign="center" o:hrstd="t" o:hr="t" fillcolor="#a0a0a0" stroked="f"/>
        </w:pict>
      </w:r>
    </w:p>
    <w:p w14:paraId="54973743" w14:textId="77777777" w:rsidR="00F06F97" w:rsidRPr="00F06F97" w:rsidRDefault="00F06F97" w:rsidP="00F06F97">
      <w:pPr>
        <w:spacing w:before="100" w:beforeAutospacing="1" w:after="100" w:afterAutospacing="1" w:line="240" w:lineRule="auto"/>
        <w:rPr>
          <w:rFonts w:ascii="Times New Roman" w:eastAsia="Times New Roman" w:hAnsi="Times New Roman" w:cs="Times New Roman"/>
          <w:kern w:val="0"/>
          <w14:ligatures w14:val="none"/>
        </w:rPr>
      </w:pPr>
      <w:r w:rsidRPr="00F06F97">
        <w:rPr>
          <w:rFonts w:ascii="Times New Roman" w:eastAsia="Times New Roman" w:hAnsi="Times New Roman" w:cs="Times New Roman"/>
          <w:kern w:val="0"/>
          <w14:ligatures w14:val="none"/>
        </w:rPr>
        <w:t xml:space="preserve">Would you like me to format this into a </w:t>
      </w:r>
      <w:r w:rsidRPr="00F06F97">
        <w:rPr>
          <w:rFonts w:ascii="Times New Roman" w:eastAsia="Times New Roman" w:hAnsi="Times New Roman" w:cs="Times New Roman"/>
          <w:b/>
          <w:bCs/>
          <w:kern w:val="0"/>
          <w14:ligatures w14:val="none"/>
        </w:rPr>
        <w:t>Word or PDF document</w:t>
      </w:r>
      <w:r w:rsidRPr="00F06F97">
        <w:rPr>
          <w:rFonts w:ascii="Times New Roman" w:eastAsia="Times New Roman" w:hAnsi="Times New Roman" w:cs="Times New Roman"/>
          <w:kern w:val="0"/>
          <w14:ligatures w14:val="none"/>
        </w:rPr>
        <w:t xml:space="preserve"> (with a professional layout suitable for submission and LinkedIn upload)?</w:t>
      </w:r>
    </w:p>
    <w:p w14:paraId="635FF50A" w14:textId="1AAA204A" w:rsidR="002E25CA" w:rsidRDefault="002E25CA"/>
    <w:p w14:paraId="0BA576E0" w14:textId="65CE277F" w:rsidR="0002399F" w:rsidRDefault="0002399F"/>
    <w:p w14:paraId="30CE0EDA" w14:textId="6C1C8142" w:rsidR="0002399F" w:rsidRDefault="0002399F"/>
    <w:p w14:paraId="1C97A66F" w14:textId="00D8A1B5" w:rsidR="0002399F" w:rsidRDefault="0002399F"/>
    <w:p w14:paraId="11C044C5" w14:textId="181AECE5" w:rsidR="0002399F" w:rsidRDefault="0002399F"/>
    <w:p w14:paraId="5BFEDC6D" w14:textId="5B5B31E0" w:rsidR="0002399F" w:rsidRDefault="0002399F"/>
    <w:p w14:paraId="549552AA" w14:textId="7F9119FF" w:rsidR="0002399F" w:rsidRDefault="0002399F"/>
    <w:p w14:paraId="7C9F4E75" w14:textId="0691E468" w:rsidR="0002399F" w:rsidRDefault="0002399F"/>
    <w:p w14:paraId="25F40DAC" w14:textId="1EBD598D" w:rsidR="0002399F" w:rsidRDefault="0002399F"/>
    <w:p w14:paraId="6121366F" w14:textId="523233B7" w:rsidR="0002399F" w:rsidRDefault="0002399F"/>
    <w:p w14:paraId="6AF6C2D4" w14:textId="179D2692" w:rsidR="0002399F" w:rsidRDefault="0002399F"/>
    <w:p w14:paraId="02DD63B8" w14:textId="0247318F" w:rsidR="0002399F" w:rsidRDefault="0002399F"/>
    <w:p w14:paraId="0044F8C6" w14:textId="7108626B" w:rsidR="0002399F" w:rsidRDefault="0002399F"/>
    <w:p w14:paraId="69B498AC" w14:textId="5051EBF4" w:rsidR="0002399F" w:rsidRDefault="0002399F"/>
    <w:p w14:paraId="71D5D7F0" w14:textId="33CA0C66" w:rsidR="0002399F" w:rsidRDefault="0002399F"/>
    <w:p w14:paraId="7F945A6F" w14:textId="795E4A8F" w:rsidR="0002399F" w:rsidRDefault="0002399F"/>
    <w:p w14:paraId="641192B0" w14:textId="77777777" w:rsidR="0002399F" w:rsidRDefault="0002399F" w:rsidP="0002399F">
      <w:pPr>
        <w:pStyle w:val="NormalWeb"/>
      </w:pPr>
      <w:r>
        <w:lastRenderedPageBreak/>
        <w:t xml:space="preserve">Got it </w:t>
      </w:r>
      <w:r>
        <w:rPr>
          <w:rFonts w:ascii="Segoe UI Emoji" w:hAnsi="Segoe UI Emoji" w:cs="Segoe UI Emoji"/>
        </w:rPr>
        <w:t>👍</w:t>
      </w:r>
      <w:r>
        <w:t xml:space="preserve"> — I’ll use </w:t>
      </w:r>
      <w:r>
        <w:rPr>
          <w:rStyle w:val="Strong"/>
        </w:rPr>
        <w:t>APA 7th edition–level headings</w:t>
      </w:r>
      <w:r>
        <w:t xml:space="preserve"> (without numbered sections) for a clean, professional academic layout.</w:t>
      </w:r>
    </w:p>
    <w:p w14:paraId="1135450E" w14:textId="77777777" w:rsidR="0002399F" w:rsidRDefault="0002399F" w:rsidP="0002399F">
      <w:pPr>
        <w:pStyle w:val="NormalWeb"/>
      </w:pPr>
      <w:r>
        <w:t xml:space="preserve">Let’s proceed — here’s the </w:t>
      </w:r>
      <w:r>
        <w:rPr>
          <w:rStyle w:val="Strong"/>
        </w:rPr>
        <w:t>full, properly cited plain-text version</w:t>
      </w:r>
      <w:r>
        <w:t xml:space="preserve"> of your article:</w:t>
      </w:r>
    </w:p>
    <w:p w14:paraId="43A6D8C4" w14:textId="77777777" w:rsidR="0002399F" w:rsidRDefault="00C86A7C" w:rsidP="0002399F">
      <w:r>
        <w:pict w14:anchorId="41E5893B">
          <v:rect id="_x0000_i1038" style="width:0;height:1.5pt" o:hralign="center" o:hrstd="t" o:hr="t" fillcolor="#a0a0a0" stroked="f"/>
        </w:pict>
      </w:r>
    </w:p>
    <w:p w14:paraId="72D6B742" w14:textId="77777777" w:rsidR="0002399F" w:rsidRDefault="0002399F" w:rsidP="0002399F">
      <w:pPr>
        <w:pStyle w:val="NormalWeb"/>
      </w:pPr>
      <w:r>
        <w:rPr>
          <w:rStyle w:val="Strong"/>
        </w:rPr>
        <w:t>Building a Culture of Compliance: The Human Element in Governance, Risk, and Compliance Programs</w:t>
      </w:r>
      <w:r>
        <w:br/>
      </w:r>
      <w:proofErr w:type="spellStart"/>
      <w:r>
        <w:rPr>
          <w:rStyle w:val="Strong"/>
        </w:rPr>
        <w:t>Oluwatimilehin</w:t>
      </w:r>
      <w:proofErr w:type="spellEnd"/>
      <w:r>
        <w:rPr>
          <w:rStyle w:val="Strong"/>
        </w:rPr>
        <w:t xml:space="preserve"> </w:t>
      </w:r>
      <w:proofErr w:type="spellStart"/>
      <w:r>
        <w:rPr>
          <w:rStyle w:val="Strong"/>
        </w:rPr>
        <w:t>Oluwagbemi</w:t>
      </w:r>
      <w:proofErr w:type="spellEnd"/>
      <w:r>
        <w:br/>
        <w:t>Cybersecurity &amp; GRC Analyst, [Academy Name]</w:t>
      </w:r>
    </w:p>
    <w:p w14:paraId="324159EF" w14:textId="77777777" w:rsidR="0002399F" w:rsidRDefault="00C86A7C" w:rsidP="0002399F">
      <w:r>
        <w:pict w14:anchorId="1DCE6BC9">
          <v:rect id="_x0000_i1039" style="width:0;height:1.5pt" o:hralign="center" o:hrstd="t" o:hr="t" fillcolor="#a0a0a0" stroked="f"/>
        </w:pict>
      </w:r>
    </w:p>
    <w:p w14:paraId="10240284" w14:textId="77777777" w:rsidR="0002399F" w:rsidRDefault="0002399F" w:rsidP="0002399F">
      <w:pPr>
        <w:pStyle w:val="Heading3"/>
      </w:pPr>
      <w:r>
        <w:rPr>
          <w:rStyle w:val="Strong"/>
          <w:b/>
          <w:bCs/>
        </w:rPr>
        <w:t>Abstract</w:t>
      </w:r>
    </w:p>
    <w:p w14:paraId="50812984" w14:textId="77777777" w:rsidR="0002399F" w:rsidRDefault="0002399F" w:rsidP="0002399F">
      <w:pPr>
        <w:pStyle w:val="NormalWeb"/>
      </w:pPr>
      <w:r>
        <w:t>Building a sustainable culture of compliance is one of the most critical challenges facing organizations today. Beyond policies and regulations, the effectiveness of any Governance, Risk, and Compliance (GRC) program depends on people—their values, awareness, and willingness to uphold integrity. This article explores the role of the human element in shaping compliance culture through leadership, employee training, ethical communication, transparency, and the use of technology to support behavioral change. Drawing on recent research and global best practices, it highlights how organizations can embed compliance into daily operations, enhance trust, and ensure accountability across all levels. The discussion emphasizes that compliance should not be viewed as a legal obligation but as a strategic advantage rooted in ethical behavior and collective responsibility. The article concludes with actionable recommendations for organizations to strengthen their compliance culture in an increasingly digital and regulated world.</w:t>
      </w:r>
    </w:p>
    <w:p w14:paraId="06228333" w14:textId="77777777" w:rsidR="0002399F" w:rsidRDefault="00C86A7C" w:rsidP="0002399F">
      <w:r>
        <w:pict w14:anchorId="1309BF36">
          <v:rect id="_x0000_i1040" style="width:0;height:1.5pt" o:hralign="center" o:hrstd="t" o:hr="t" fillcolor="#a0a0a0" stroked="f"/>
        </w:pict>
      </w:r>
    </w:p>
    <w:p w14:paraId="750FF19F" w14:textId="77777777" w:rsidR="0002399F" w:rsidRDefault="0002399F" w:rsidP="0002399F">
      <w:pPr>
        <w:pStyle w:val="Heading3"/>
      </w:pPr>
      <w:r>
        <w:rPr>
          <w:rStyle w:val="Strong"/>
          <w:b/>
          <w:bCs/>
        </w:rPr>
        <w:t>Introduction</w:t>
      </w:r>
    </w:p>
    <w:p w14:paraId="7FB56681" w14:textId="77777777" w:rsidR="0002399F" w:rsidRDefault="0002399F" w:rsidP="0002399F">
      <w:pPr>
        <w:pStyle w:val="NormalWeb"/>
      </w:pPr>
      <w:r>
        <w:t>Compliance is no longer just about adhering to laws or satisfying regulatory bodies—it has evolved into a strategic necessity that defines corporate integrity and public trust. As regulatory expectations become more complex, organizations must move beyond rule-based compliance to cultivate a culture where ethical behavior and accountability are intrinsic to daily operations (McKinsey &amp; Company, 2022).</w:t>
      </w:r>
    </w:p>
    <w:p w14:paraId="6D2A6BE8" w14:textId="77777777" w:rsidR="0002399F" w:rsidRDefault="0002399F" w:rsidP="0002399F">
      <w:pPr>
        <w:pStyle w:val="NormalWeb"/>
      </w:pPr>
      <w:r>
        <w:t>A culture of compliance ensures that employees at all levels understand and internalize the principles of governance, risk management, and ethical responsibility. This shift from enforcement to engagement is what differentiates sustainable organizations from those that view compliance merely as a cost of doing business (Paine, 2014).</w:t>
      </w:r>
    </w:p>
    <w:p w14:paraId="0F7A85AA" w14:textId="77777777" w:rsidR="0002399F" w:rsidRDefault="00C86A7C" w:rsidP="0002399F">
      <w:r>
        <w:pict w14:anchorId="77F92F24">
          <v:rect id="_x0000_i1041" style="width:0;height:1.5pt" o:hralign="center" o:hrstd="t" o:hr="t" fillcolor="#a0a0a0" stroked="f"/>
        </w:pict>
      </w:r>
    </w:p>
    <w:p w14:paraId="6A669143" w14:textId="77777777" w:rsidR="0002399F" w:rsidRDefault="0002399F" w:rsidP="0002399F">
      <w:pPr>
        <w:pStyle w:val="Heading3"/>
      </w:pPr>
      <w:r>
        <w:rPr>
          <w:rStyle w:val="Strong"/>
          <w:b/>
          <w:bCs/>
        </w:rPr>
        <w:lastRenderedPageBreak/>
        <w:t>Understanding the Compliance Culture Concept</w:t>
      </w:r>
    </w:p>
    <w:p w14:paraId="7BDFB49E" w14:textId="77777777" w:rsidR="0002399F" w:rsidRDefault="0002399F" w:rsidP="0002399F">
      <w:pPr>
        <w:pStyle w:val="NormalWeb"/>
      </w:pPr>
      <w:r>
        <w:t>A compliance culture can be defined as the collective values, attitudes, and behaviors that drive adherence to laws, regulations, and ethical standards within an organization (ISO, 2021). It reflects how deeply compliance principles are embedded in organizational DNA—going beyond policies to influence decisions, conduct, and performance.</w:t>
      </w:r>
    </w:p>
    <w:p w14:paraId="50210636" w14:textId="77777777" w:rsidR="0002399F" w:rsidRDefault="0002399F" w:rsidP="0002399F">
      <w:pPr>
        <w:pStyle w:val="NormalWeb"/>
      </w:pPr>
      <w:r>
        <w:t>According to Becker et al. (2020), a strong compliance culture integrates governance structures, risk management frameworks, and ethical behavior to create resilience against both internal and external threats. The International Organization for Standardization (ISO) reinforces this through ISO 37301:2021, which emphasizes leadership, context, planning, and continual improvement as foundational pillars for compliance management systems (ISO, 2021).</w:t>
      </w:r>
    </w:p>
    <w:p w14:paraId="1DF8265A" w14:textId="77777777" w:rsidR="0002399F" w:rsidRDefault="0002399F" w:rsidP="0002399F">
      <w:pPr>
        <w:pStyle w:val="NormalWeb"/>
      </w:pPr>
      <w:r>
        <w:t>Organizations with mature compliance cultures exhibit transparency, trust, and shared ownership of ethical outcomes. These qualities ensure that compliance is not a reactive measure but a proactive approach to corporate governance (EY Global, 2021).</w:t>
      </w:r>
    </w:p>
    <w:p w14:paraId="53E41147" w14:textId="77777777" w:rsidR="0002399F" w:rsidRDefault="00C86A7C" w:rsidP="0002399F">
      <w:r>
        <w:pict w14:anchorId="2D925E95">
          <v:rect id="_x0000_i1042" style="width:0;height:1.5pt" o:hralign="center" o:hrstd="t" o:hr="t" fillcolor="#a0a0a0" stroked="f"/>
        </w:pict>
      </w:r>
    </w:p>
    <w:p w14:paraId="6F77AEAD" w14:textId="77777777" w:rsidR="0002399F" w:rsidRDefault="0002399F" w:rsidP="0002399F">
      <w:pPr>
        <w:pStyle w:val="Heading3"/>
      </w:pPr>
      <w:r>
        <w:rPr>
          <w:rStyle w:val="Strong"/>
          <w:b/>
          <w:bCs/>
        </w:rPr>
        <w:t>Leadership and Ethical Influence</w:t>
      </w:r>
    </w:p>
    <w:p w14:paraId="5D75138A" w14:textId="77777777" w:rsidR="0002399F" w:rsidRDefault="0002399F" w:rsidP="0002399F">
      <w:pPr>
        <w:pStyle w:val="NormalWeb"/>
      </w:pPr>
      <w:r>
        <w:t xml:space="preserve">Leadership plays a defining role in shaping organizational ethics and compliance. Leaders set the tone for acceptable behavior, demonstrating that integrity and transparency are not optional but integral to success. As </w:t>
      </w:r>
      <w:proofErr w:type="spellStart"/>
      <w:r>
        <w:t>Treviño</w:t>
      </w:r>
      <w:proofErr w:type="spellEnd"/>
      <w:r>
        <w:t xml:space="preserve"> and Nelson (2021) note, employees often take ethical cues from leadership behavior, which means compliance culture starts at the top.</w:t>
      </w:r>
    </w:p>
    <w:p w14:paraId="6F7B762A" w14:textId="77777777" w:rsidR="0002399F" w:rsidRDefault="0002399F" w:rsidP="0002399F">
      <w:pPr>
        <w:pStyle w:val="NormalWeb"/>
      </w:pPr>
      <w:r>
        <w:t>Ethical leadership fosters accountability and psychological safety—conditions that encourage employees to speak up about misconduct without fear of retaliation (Institute of Business Ethics [IBE], 2022). When leaders consistently communicate the organization’s values, reward ethical conduct, and act decisively against violations, they reinforce trust and credibility.</w:t>
      </w:r>
    </w:p>
    <w:p w14:paraId="6E710BB6" w14:textId="77777777" w:rsidR="0002399F" w:rsidRDefault="0002399F" w:rsidP="0002399F">
      <w:pPr>
        <w:pStyle w:val="NormalWeb"/>
      </w:pPr>
      <w:r>
        <w:t xml:space="preserve">Deloitte (2022) highlights that organizations where leadership champions ethical behavior </w:t>
      </w:r>
      <w:proofErr w:type="gramStart"/>
      <w:r>
        <w:t>outperform</w:t>
      </w:r>
      <w:proofErr w:type="gramEnd"/>
      <w:r>
        <w:t xml:space="preserve"> their peers in long-term risk resilience. Such leaders align strategic objectives with compliance values, ensuring that decisions reflect both commercial and moral considerations.</w:t>
      </w:r>
    </w:p>
    <w:p w14:paraId="01DB3909" w14:textId="77777777" w:rsidR="0002399F" w:rsidRDefault="0002399F" w:rsidP="0002399F">
      <w:pPr>
        <w:pStyle w:val="NormalWeb"/>
      </w:pPr>
      <w:r>
        <w:t>Ultimately, leadership’s role in compliance is not enforcement—it is inspiration. By modeling integrity and prioritizing transparency, leaders embed compliance into the organization’s character.</w:t>
      </w:r>
    </w:p>
    <w:p w14:paraId="5227C1BF" w14:textId="77777777" w:rsidR="0002399F" w:rsidRDefault="00C86A7C" w:rsidP="0002399F">
      <w:r>
        <w:pict w14:anchorId="6343402F">
          <v:rect id="_x0000_i1043" style="width:0;height:1.5pt" o:hralign="center" o:hrstd="t" o:hr="t" fillcolor="#a0a0a0" stroked="f"/>
        </w:pict>
      </w:r>
    </w:p>
    <w:p w14:paraId="5A408E0F" w14:textId="77777777" w:rsidR="0002399F" w:rsidRDefault="0002399F" w:rsidP="0002399F">
      <w:pPr>
        <w:pStyle w:val="Heading3"/>
      </w:pPr>
      <w:r>
        <w:rPr>
          <w:rStyle w:val="Strong"/>
          <w:b/>
          <w:bCs/>
        </w:rPr>
        <w:t>Employee Awareness and Training Strategies</w:t>
      </w:r>
    </w:p>
    <w:p w14:paraId="7996C5D7" w14:textId="77777777" w:rsidR="0002399F" w:rsidRDefault="0002399F" w:rsidP="0002399F">
      <w:pPr>
        <w:pStyle w:val="NormalWeb"/>
      </w:pPr>
      <w:r>
        <w:t>Employee awareness is the cornerstone of compliance culture. No matter how sophisticated a policy framework may be, it cannot succeed if employees lack understanding or motivation to adhere to it (SAI Global, 2020).</w:t>
      </w:r>
    </w:p>
    <w:p w14:paraId="2830B4A1" w14:textId="77777777" w:rsidR="0002399F" w:rsidRDefault="0002399F" w:rsidP="0002399F">
      <w:pPr>
        <w:pStyle w:val="NormalWeb"/>
      </w:pPr>
      <w:r>
        <w:lastRenderedPageBreak/>
        <w:t>Effective compliance training programs go beyond information delivery—they aim to influence behavior. According to PwC (2022), interactive, scenario-based, and role-specific training enhances retention and fosters practical application. Organizations that regularly update training materials in response to emerging risks or regulatory changes maintain higher engagement levels.</w:t>
      </w:r>
    </w:p>
    <w:p w14:paraId="6F8E5123" w14:textId="77777777" w:rsidR="0002399F" w:rsidRDefault="0002399F" w:rsidP="0002399F">
      <w:pPr>
        <w:pStyle w:val="NormalWeb"/>
      </w:pPr>
      <w:r>
        <w:t>Microlearning and gamified modules are increasingly popular tools for delivering compliance education efficiently and effectively (SAI Global, 2020). By embedding training into the flow of work, employees are more likely to internalize the values that support compliance behavior.</w:t>
      </w:r>
    </w:p>
    <w:p w14:paraId="41CBA4F3" w14:textId="77777777" w:rsidR="0002399F" w:rsidRDefault="0002399F" w:rsidP="0002399F">
      <w:pPr>
        <w:pStyle w:val="NormalWeb"/>
      </w:pPr>
      <w:r>
        <w:t>Moreover, awareness initiatives must be inclusive and continuous. Ethical reminders, digital posters, and recognition programs help sustain compliance consciousness throughout the organization (KPMG, 2023). When employees see compliance as a shared responsibility rather than an obligation, a culture of integrity naturally follows.</w:t>
      </w:r>
    </w:p>
    <w:p w14:paraId="3C83D438" w14:textId="77777777" w:rsidR="0002399F" w:rsidRDefault="00C86A7C" w:rsidP="0002399F">
      <w:r>
        <w:pict w14:anchorId="260244E9">
          <v:rect id="_x0000_i1044" style="width:0;height:1.5pt" o:hralign="center" o:hrstd="t" o:hr="t" fillcolor="#a0a0a0" stroked="f"/>
        </w:pict>
      </w:r>
    </w:p>
    <w:p w14:paraId="28714F4C" w14:textId="77777777" w:rsidR="0002399F" w:rsidRDefault="0002399F" w:rsidP="0002399F">
      <w:pPr>
        <w:pStyle w:val="Heading3"/>
      </w:pPr>
      <w:r>
        <w:rPr>
          <w:rStyle w:val="Strong"/>
          <w:b/>
          <w:bCs/>
        </w:rPr>
        <w:t>Communication, Transparency, and Accountability</w:t>
      </w:r>
    </w:p>
    <w:p w14:paraId="1DFBE01E" w14:textId="77777777" w:rsidR="0002399F" w:rsidRDefault="0002399F" w:rsidP="0002399F">
      <w:pPr>
        <w:pStyle w:val="NormalWeb"/>
      </w:pPr>
      <w:r>
        <w:t>Effective communication and transparency are the lifelines of a compliance culture. They ensure that employees not only understand the rules but also trust the systems enforcing them (Transparency International, 2022).</w:t>
      </w:r>
    </w:p>
    <w:p w14:paraId="62D199A4" w14:textId="77777777" w:rsidR="0002399F" w:rsidRDefault="0002399F" w:rsidP="0002399F">
      <w:pPr>
        <w:pStyle w:val="NormalWeb"/>
      </w:pPr>
      <w:r>
        <w:t>Open communication channels—such as town halls, intranet updates, and anonymous whistleblowing platforms—enable employees to voice concerns freely. According to the United Nations Office on Drugs and Crime (UNODC, 2021), such platforms build trust and reduce the likelihood of misconduct.</w:t>
      </w:r>
    </w:p>
    <w:p w14:paraId="1E001201" w14:textId="77777777" w:rsidR="0002399F" w:rsidRDefault="0002399F" w:rsidP="0002399F">
      <w:pPr>
        <w:pStyle w:val="NormalWeb"/>
      </w:pPr>
      <w:r>
        <w:t>Transparency also strengthens accountability. When organizations clearly communicate decision-making processes and disclose corrective actions, they reinforce fairness and ethical consistency (Deloitte, 2022). Accountability, meanwhile, transforms compliance from a reactive activity into a shared standard of behavior (Thompson &amp; Smith, 2021).</w:t>
      </w:r>
    </w:p>
    <w:p w14:paraId="03BF79A6" w14:textId="77777777" w:rsidR="0002399F" w:rsidRDefault="0002399F" w:rsidP="0002399F">
      <w:pPr>
        <w:pStyle w:val="NormalWeb"/>
      </w:pPr>
      <w:r>
        <w:t>By aligning communication, transparency, and accountability, organizations create an ecosystem of trust where compliance is viewed as a shared value rather than an external imposition.</w:t>
      </w:r>
    </w:p>
    <w:p w14:paraId="63AA7B24" w14:textId="77777777" w:rsidR="0002399F" w:rsidRDefault="00C86A7C" w:rsidP="0002399F">
      <w:r>
        <w:pict w14:anchorId="401A5F75">
          <v:rect id="_x0000_i1045" style="width:0;height:1.5pt" o:hralign="center" o:hrstd="t" o:hr="t" fillcolor="#a0a0a0" stroked="f"/>
        </w:pict>
      </w:r>
    </w:p>
    <w:p w14:paraId="1E4309DE" w14:textId="77777777" w:rsidR="0002399F" w:rsidRDefault="0002399F" w:rsidP="0002399F">
      <w:pPr>
        <w:pStyle w:val="Heading3"/>
      </w:pPr>
      <w:r>
        <w:rPr>
          <w:rStyle w:val="Strong"/>
          <w:b/>
          <w:bCs/>
        </w:rPr>
        <w:t>Integrating Technology to Reinforce Compliance Behavior</w:t>
      </w:r>
    </w:p>
    <w:p w14:paraId="0CDE51CF" w14:textId="77777777" w:rsidR="0002399F" w:rsidRDefault="0002399F" w:rsidP="0002399F">
      <w:pPr>
        <w:pStyle w:val="NormalWeb"/>
      </w:pPr>
      <w:r>
        <w:t>Technology has become a strategic enabler of compliance. Automation, analytics, and artificial intelligence (AI) are transforming how organizations monitor, report, and manage compliance risks (Thompson &amp; Smith, 2021).</w:t>
      </w:r>
    </w:p>
    <w:p w14:paraId="47F5229A" w14:textId="77777777" w:rsidR="0002399F" w:rsidRDefault="0002399F" w:rsidP="0002399F">
      <w:pPr>
        <w:pStyle w:val="NormalWeb"/>
      </w:pPr>
      <w:r>
        <w:lastRenderedPageBreak/>
        <w:t>Compliance management systems (CMS) centralize documentation, track regulatory updates, and streamline audit trails. Machine learning algorithms detect anomalies, while data analytics enhances visibility into risk patterns (KPMG, 2023).</w:t>
      </w:r>
    </w:p>
    <w:p w14:paraId="223D54D3" w14:textId="77777777" w:rsidR="0002399F" w:rsidRDefault="0002399F" w:rsidP="0002399F">
      <w:pPr>
        <w:pStyle w:val="NormalWeb"/>
      </w:pPr>
      <w:r>
        <w:t>Furthermore, digital learning platforms improve engagement through personalized, interactive training experiences (SAI Global, 2020). Cloud-based collaboration tools ensure that compliance communication is seamless across global teams, enhancing transparency and accountability (EY Global, 2021).</w:t>
      </w:r>
    </w:p>
    <w:p w14:paraId="25EBE531" w14:textId="77777777" w:rsidR="0002399F" w:rsidRDefault="0002399F" w:rsidP="0002399F">
      <w:pPr>
        <w:pStyle w:val="NormalWeb"/>
      </w:pPr>
      <w:r>
        <w:t xml:space="preserve">However, overreliance on technology introduces ethical risks such as data bias, </w:t>
      </w:r>
      <w:proofErr w:type="spellStart"/>
      <w:r>
        <w:t>overautomation</w:t>
      </w:r>
      <w:proofErr w:type="spellEnd"/>
      <w:r>
        <w:t>, and privacy concerns (World Economic Forum, 2023). Organizations must therefore balance automation with human oversight, ensuring that ethics remain central to technological deployment (Becker et al., 2020).</w:t>
      </w:r>
    </w:p>
    <w:p w14:paraId="65C447AA" w14:textId="77777777" w:rsidR="0002399F" w:rsidRDefault="0002399F" w:rsidP="0002399F">
      <w:pPr>
        <w:pStyle w:val="NormalWeb"/>
      </w:pPr>
      <w:r>
        <w:t>When effectively managed, technology not only supports compliance processes but also amplifies ethical decision-making and risk awareness across the enterprise.</w:t>
      </w:r>
    </w:p>
    <w:p w14:paraId="35FE2DCF" w14:textId="77777777" w:rsidR="0002399F" w:rsidRDefault="00C86A7C" w:rsidP="0002399F">
      <w:r>
        <w:pict w14:anchorId="4ECCE9EA">
          <v:rect id="_x0000_i1046" style="width:0;height:1.5pt" o:hralign="center" o:hrstd="t" o:hr="t" fillcolor="#a0a0a0" stroked="f"/>
        </w:pict>
      </w:r>
    </w:p>
    <w:p w14:paraId="73302AFF" w14:textId="77777777" w:rsidR="0002399F" w:rsidRDefault="0002399F" w:rsidP="0002399F">
      <w:pPr>
        <w:pStyle w:val="Heading3"/>
      </w:pPr>
      <w:r>
        <w:rPr>
          <w:rStyle w:val="Strong"/>
          <w:b/>
          <w:bCs/>
        </w:rPr>
        <w:t>Conclusion and Action Steps for Organizations</w:t>
      </w:r>
    </w:p>
    <w:p w14:paraId="19EE7FCF" w14:textId="77777777" w:rsidR="0002399F" w:rsidRDefault="0002399F" w:rsidP="0002399F">
      <w:pPr>
        <w:pStyle w:val="NormalWeb"/>
      </w:pPr>
      <w:r>
        <w:t>Building a culture of compliance is an ongoing process that requires strategic alignment between people, processes, and technology. Leadership commitment, employee engagement, and ethical communication serve as the human backbone of effective GRC systems (McKinsey &amp; Company, 2022).</w:t>
      </w:r>
    </w:p>
    <w:p w14:paraId="6DA9F5BF" w14:textId="77777777" w:rsidR="0002399F" w:rsidRDefault="0002399F" w:rsidP="0002399F">
      <w:pPr>
        <w:pStyle w:val="NormalWeb"/>
      </w:pPr>
      <w:r>
        <w:t>Organizations should begin by conducting cultural assessments, empowering compliance champions, and integrating compliance objectives into strategic planning (KPMG, 2023). Technology should be leveraged wisely—to support, not replace, ethical behavior.</w:t>
      </w:r>
    </w:p>
    <w:p w14:paraId="2C45A084" w14:textId="77777777" w:rsidR="0002399F" w:rsidRDefault="0002399F" w:rsidP="0002399F">
      <w:pPr>
        <w:pStyle w:val="NormalWeb"/>
      </w:pPr>
      <w:r>
        <w:t>Finally, reinforcing accountability and celebrating ethical success stories create long-term sustainability. As Paine (2014) emphasizes, ethics-driven organizations are not only compliant—they are resilient, trusted, and future-ready.</w:t>
      </w:r>
    </w:p>
    <w:p w14:paraId="062BB2CF" w14:textId="77777777" w:rsidR="0002399F" w:rsidRDefault="0002399F" w:rsidP="0002399F">
      <w:pPr>
        <w:pStyle w:val="NormalWeb"/>
      </w:pPr>
      <w:r>
        <w:t>A compliance culture rooted in integrity transforms risk management from a defensive measure into a competitive advantage. In the digital era, it is the human element—ethics, empathy, and accountability—that will continue to define true organizational compliance.</w:t>
      </w:r>
    </w:p>
    <w:p w14:paraId="55777448" w14:textId="77777777" w:rsidR="0002399F" w:rsidRDefault="00C86A7C" w:rsidP="0002399F">
      <w:r>
        <w:pict w14:anchorId="26368AC1">
          <v:rect id="_x0000_i1047" style="width:0;height:1.5pt" o:hralign="center" o:hrstd="t" o:hr="t" fillcolor="#a0a0a0" stroked="f"/>
        </w:pict>
      </w:r>
    </w:p>
    <w:p w14:paraId="62B4DA20" w14:textId="77777777" w:rsidR="0002399F" w:rsidRDefault="0002399F" w:rsidP="0002399F">
      <w:pPr>
        <w:pStyle w:val="Heading3"/>
      </w:pPr>
      <w:r>
        <w:rPr>
          <w:rStyle w:val="Strong"/>
          <w:b/>
          <w:bCs/>
        </w:rPr>
        <w:t>References</w:t>
      </w:r>
    </w:p>
    <w:p w14:paraId="4F20F403" w14:textId="77777777" w:rsidR="0002399F" w:rsidRDefault="0002399F" w:rsidP="0002399F">
      <w:pPr>
        <w:pStyle w:val="NormalWeb"/>
      </w:pPr>
      <w:r>
        <w:t xml:space="preserve">Becker, J., </w:t>
      </w:r>
      <w:proofErr w:type="spellStart"/>
      <w:r>
        <w:t>Kugeler</w:t>
      </w:r>
      <w:proofErr w:type="spellEnd"/>
      <w:r>
        <w:t xml:space="preserve">, M., &amp; </w:t>
      </w:r>
      <w:proofErr w:type="spellStart"/>
      <w:r>
        <w:t>Rosemann</w:t>
      </w:r>
      <w:proofErr w:type="spellEnd"/>
      <w:r>
        <w:t xml:space="preserve">, M. (2020). </w:t>
      </w:r>
      <w:r>
        <w:rPr>
          <w:rStyle w:val="Emphasis"/>
        </w:rPr>
        <w:t>Process management: A guide for the design of business processes.</w:t>
      </w:r>
      <w:r>
        <w:t xml:space="preserve"> Springer.</w:t>
      </w:r>
    </w:p>
    <w:p w14:paraId="3E3DF0A1" w14:textId="77777777" w:rsidR="0002399F" w:rsidRDefault="0002399F" w:rsidP="0002399F">
      <w:pPr>
        <w:pStyle w:val="NormalWeb"/>
      </w:pPr>
      <w:r>
        <w:lastRenderedPageBreak/>
        <w:t xml:space="preserve">Deloitte. (2022). </w:t>
      </w:r>
      <w:r>
        <w:rPr>
          <w:rStyle w:val="Emphasis"/>
        </w:rPr>
        <w:t>The future of compliance: Building a culture of integrity in a digital world.</w:t>
      </w:r>
      <w:r>
        <w:t xml:space="preserve"> Deloitte Insights. </w:t>
      </w:r>
      <w:hyperlink r:id="rId5" w:history="1">
        <w:r>
          <w:rPr>
            <w:rStyle w:val="Hyperlink"/>
          </w:rPr>
          <w:t>https://www.deloitte.com</w:t>
        </w:r>
      </w:hyperlink>
    </w:p>
    <w:p w14:paraId="69452CA6" w14:textId="77777777" w:rsidR="0002399F" w:rsidRDefault="0002399F" w:rsidP="0002399F">
      <w:pPr>
        <w:pStyle w:val="NormalWeb"/>
      </w:pPr>
      <w:r>
        <w:t xml:space="preserve">EY Global. (2021). </w:t>
      </w:r>
      <w:r>
        <w:rPr>
          <w:rStyle w:val="Emphasis"/>
        </w:rPr>
        <w:t>Global integrity report 2021: The integrity agenda.</w:t>
      </w:r>
      <w:r>
        <w:t xml:space="preserve"> Ernst &amp; Young. </w:t>
      </w:r>
      <w:hyperlink r:id="rId6" w:history="1">
        <w:r>
          <w:rPr>
            <w:rStyle w:val="Hyperlink"/>
          </w:rPr>
          <w:t>https://www.ey.com</w:t>
        </w:r>
      </w:hyperlink>
    </w:p>
    <w:p w14:paraId="1DCEC62E" w14:textId="77777777" w:rsidR="0002399F" w:rsidRDefault="0002399F" w:rsidP="0002399F">
      <w:pPr>
        <w:pStyle w:val="NormalWeb"/>
      </w:pPr>
      <w:r>
        <w:t xml:space="preserve">Institute of Business Ethics. (2022). </w:t>
      </w:r>
      <w:r>
        <w:rPr>
          <w:rStyle w:val="Emphasis"/>
        </w:rPr>
        <w:t>Leading with integrity: How ethical leadership shapes organizational culture.</w:t>
      </w:r>
      <w:r>
        <w:t xml:space="preserve"> Institute of Business Ethics.</w:t>
      </w:r>
    </w:p>
    <w:p w14:paraId="20959F71" w14:textId="77777777" w:rsidR="0002399F" w:rsidRDefault="0002399F" w:rsidP="0002399F">
      <w:pPr>
        <w:pStyle w:val="NormalWeb"/>
      </w:pPr>
      <w:r>
        <w:t xml:space="preserve">International Organization for Standardization. (2021). </w:t>
      </w:r>
      <w:r>
        <w:rPr>
          <w:rStyle w:val="Emphasis"/>
        </w:rPr>
        <w:t>ISO 37301:2021: Compliance management systems – Requirements with guidance for use.</w:t>
      </w:r>
    </w:p>
    <w:p w14:paraId="27126587" w14:textId="77777777" w:rsidR="0002399F" w:rsidRDefault="0002399F" w:rsidP="0002399F">
      <w:pPr>
        <w:pStyle w:val="NormalWeb"/>
      </w:pPr>
      <w:r>
        <w:t xml:space="preserve">KPMG. (2023). </w:t>
      </w:r>
      <w:r>
        <w:rPr>
          <w:rStyle w:val="Emphasis"/>
        </w:rPr>
        <w:t>Embedding a culture of compliance: From obligation to opportunity.</w:t>
      </w:r>
      <w:r>
        <w:t xml:space="preserve"> </w:t>
      </w:r>
      <w:hyperlink r:id="rId7" w:history="1">
        <w:r>
          <w:rPr>
            <w:rStyle w:val="Hyperlink"/>
          </w:rPr>
          <w:t>https://home.kpmg</w:t>
        </w:r>
      </w:hyperlink>
    </w:p>
    <w:p w14:paraId="07CDBDB8" w14:textId="77777777" w:rsidR="0002399F" w:rsidRDefault="0002399F" w:rsidP="0002399F">
      <w:pPr>
        <w:pStyle w:val="NormalWeb"/>
      </w:pPr>
      <w:r>
        <w:t xml:space="preserve">McKinsey &amp; Company. (2022). </w:t>
      </w:r>
      <w:r>
        <w:rPr>
          <w:rStyle w:val="Emphasis"/>
        </w:rPr>
        <w:t>The human factor in compliance: Why culture matters more than controls.</w:t>
      </w:r>
      <w:r>
        <w:t xml:space="preserve"> </w:t>
      </w:r>
      <w:hyperlink r:id="rId8" w:history="1">
        <w:r>
          <w:rPr>
            <w:rStyle w:val="Hyperlink"/>
          </w:rPr>
          <w:t>https://www.mckinsey.com</w:t>
        </w:r>
      </w:hyperlink>
    </w:p>
    <w:p w14:paraId="7AF3EEDE" w14:textId="77777777" w:rsidR="0002399F" w:rsidRDefault="0002399F" w:rsidP="0002399F">
      <w:pPr>
        <w:pStyle w:val="NormalWeb"/>
      </w:pPr>
      <w:r>
        <w:t xml:space="preserve">Paine, L. S. (2014). </w:t>
      </w:r>
      <w:r>
        <w:rPr>
          <w:rStyle w:val="Emphasis"/>
        </w:rPr>
        <w:t>Values-driven leadership: The power of ethics in business.</w:t>
      </w:r>
      <w:r>
        <w:t xml:space="preserve"> Harvard Business Review Press.</w:t>
      </w:r>
    </w:p>
    <w:p w14:paraId="7B1FAF3C" w14:textId="77777777" w:rsidR="0002399F" w:rsidRDefault="0002399F" w:rsidP="0002399F">
      <w:pPr>
        <w:pStyle w:val="NormalWeb"/>
      </w:pPr>
      <w:r>
        <w:t xml:space="preserve">PricewaterhouseCoopers. (2022). </w:t>
      </w:r>
      <w:r>
        <w:rPr>
          <w:rStyle w:val="Emphasis"/>
        </w:rPr>
        <w:t>State of compliance 2022: Navigating a new era of risk.</w:t>
      </w:r>
      <w:r>
        <w:t xml:space="preserve"> PwC. </w:t>
      </w:r>
      <w:hyperlink r:id="rId9" w:history="1">
        <w:r>
          <w:rPr>
            <w:rStyle w:val="Hyperlink"/>
          </w:rPr>
          <w:t>https://www.pwc.com</w:t>
        </w:r>
      </w:hyperlink>
    </w:p>
    <w:p w14:paraId="099282EB" w14:textId="77777777" w:rsidR="0002399F" w:rsidRDefault="0002399F" w:rsidP="0002399F">
      <w:pPr>
        <w:pStyle w:val="NormalWeb"/>
      </w:pPr>
      <w:r>
        <w:t xml:space="preserve">SAI Global. (2020). </w:t>
      </w:r>
      <w:r>
        <w:rPr>
          <w:rStyle w:val="Emphasis"/>
        </w:rPr>
        <w:t xml:space="preserve">Building and sustaining an ethical culture: </w:t>
      </w:r>
      <w:proofErr w:type="gramStart"/>
      <w:r>
        <w:rPr>
          <w:rStyle w:val="Emphasis"/>
        </w:rPr>
        <w:t>Best</w:t>
      </w:r>
      <w:proofErr w:type="gramEnd"/>
      <w:r>
        <w:rPr>
          <w:rStyle w:val="Emphasis"/>
        </w:rPr>
        <w:t xml:space="preserve"> practices in compliance and ethics training.</w:t>
      </w:r>
      <w:r>
        <w:t xml:space="preserve"> SAI Global.</w:t>
      </w:r>
    </w:p>
    <w:p w14:paraId="54B5170F" w14:textId="77777777" w:rsidR="0002399F" w:rsidRDefault="0002399F" w:rsidP="0002399F">
      <w:pPr>
        <w:pStyle w:val="NormalWeb"/>
      </w:pPr>
      <w:r>
        <w:t xml:space="preserve">Thompson, J., &amp; Smith, R. (2021). The role of technology in enhancing corporate compliance. </w:t>
      </w:r>
      <w:r>
        <w:rPr>
          <w:rStyle w:val="Emphasis"/>
        </w:rPr>
        <w:t>Journal of Governance and Risk Management, 18</w:t>
      </w:r>
      <w:r>
        <w:t>(3), 112–127.</w:t>
      </w:r>
    </w:p>
    <w:p w14:paraId="4242824D" w14:textId="77777777" w:rsidR="0002399F" w:rsidRDefault="0002399F" w:rsidP="0002399F">
      <w:pPr>
        <w:pStyle w:val="NormalWeb"/>
      </w:pPr>
      <w:r>
        <w:t xml:space="preserve">Transparency International. (2022). </w:t>
      </w:r>
      <w:r>
        <w:rPr>
          <w:rStyle w:val="Emphasis"/>
        </w:rPr>
        <w:t>Business integrity and compliance programs: A framework for action.</w:t>
      </w:r>
      <w:r>
        <w:t xml:space="preserve"> Transparency International.</w:t>
      </w:r>
    </w:p>
    <w:p w14:paraId="0C8D9460" w14:textId="77777777" w:rsidR="0002399F" w:rsidRDefault="0002399F" w:rsidP="0002399F">
      <w:pPr>
        <w:pStyle w:val="NormalWeb"/>
      </w:pPr>
      <w:proofErr w:type="spellStart"/>
      <w:r>
        <w:t>Treviño</w:t>
      </w:r>
      <w:proofErr w:type="spellEnd"/>
      <w:r>
        <w:t xml:space="preserve">, L. K., &amp; Nelson, K. A. (2021). </w:t>
      </w:r>
      <w:r>
        <w:rPr>
          <w:rStyle w:val="Emphasis"/>
        </w:rPr>
        <w:t>Managing business ethics: Straight talk about how to do it right</w:t>
      </w:r>
      <w:r>
        <w:t xml:space="preserve"> (8th ed.). John Wiley &amp; Sons.</w:t>
      </w:r>
    </w:p>
    <w:p w14:paraId="2E81D688" w14:textId="77777777" w:rsidR="0002399F" w:rsidRDefault="0002399F" w:rsidP="0002399F">
      <w:pPr>
        <w:pStyle w:val="NormalWeb"/>
      </w:pPr>
      <w:r>
        <w:t xml:space="preserve">United Nations Office on Drugs and Crime. (2021). </w:t>
      </w:r>
      <w:r>
        <w:rPr>
          <w:rStyle w:val="Emphasis"/>
        </w:rPr>
        <w:t>A practical guide to developing and implementing codes of ethics and conduct.</w:t>
      </w:r>
      <w:r>
        <w:t xml:space="preserve"> UNODC Publishing.</w:t>
      </w:r>
    </w:p>
    <w:p w14:paraId="460FE6F6" w14:textId="77777777" w:rsidR="0002399F" w:rsidRDefault="0002399F" w:rsidP="0002399F">
      <w:pPr>
        <w:pStyle w:val="NormalWeb"/>
      </w:pPr>
      <w:r>
        <w:t xml:space="preserve">World Economic Forum. (2023). </w:t>
      </w:r>
      <w:r>
        <w:rPr>
          <w:rStyle w:val="Emphasis"/>
        </w:rPr>
        <w:t>Principles for effective governance of emerging technologies.</w:t>
      </w:r>
      <w:r>
        <w:t xml:space="preserve"> </w:t>
      </w:r>
      <w:hyperlink r:id="rId10" w:history="1">
        <w:r>
          <w:rPr>
            <w:rStyle w:val="Hyperlink"/>
          </w:rPr>
          <w:t>https://www.weforum.org</w:t>
        </w:r>
      </w:hyperlink>
    </w:p>
    <w:p w14:paraId="6B1C571D" w14:textId="77777777" w:rsidR="0002399F" w:rsidRDefault="00C86A7C" w:rsidP="0002399F">
      <w:r>
        <w:pict w14:anchorId="1575D24D">
          <v:rect id="_x0000_i1048" style="width:0;height:1.5pt" o:hralign="center" o:hrstd="t" o:hr="t" fillcolor="#a0a0a0" stroked="f"/>
        </w:pict>
      </w:r>
    </w:p>
    <w:p w14:paraId="315F4211" w14:textId="1281F1CD" w:rsidR="0002399F" w:rsidRDefault="0002399F" w:rsidP="0002399F">
      <w:pPr>
        <w:pStyle w:val="NormalWeb"/>
      </w:pPr>
      <w:r>
        <w:t xml:space="preserve">Would you like me to now format this into a </w:t>
      </w:r>
      <w:r>
        <w:rPr>
          <w:rStyle w:val="Strong"/>
        </w:rPr>
        <w:t>Word document (APA 7th–style layout)</w:t>
      </w:r>
      <w:r>
        <w:t xml:space="preserve"> — with title page, running head, and proper spacing — ready for submission or publication?</w:t>
      </w:r>
    </w:p>
    <w:p w14:paraId="18F47785" w14:textId="77777777" w:rsidR="00C86A7C" w:rsidRPr="00C86A7C" w:rsidRDefault="00C86A7C" w:rsidP="00C86A7C">
      <w:pPr>
        <w:spacing w:before="100" w:beforeAutospacing="1" w:after="100" w:afterAutospacing="1" w:line="240" w:lineRule="auto"/>
        <w:rPr>
          <w:rFonts w:ascii="Times New Roman" w:eastAsia="Times New Roman" w:hAnsi="Times New Roman" w:cs="Times New Roman"/>
          <w:kern w:val="0"/>
          <w14:ligatures w14:val="none"/>
        </w:rPr>
      </w:pPr>
      <w:r w:rsidRPr="00C86A7C">
        <w:rPr>
          <w:rFonts w:ascii="Times New Roman" w:eastAsia="Times New Roman" w:hAnsi="Times New Roman" w:cs="Times New Roman"/>
          <w:kern w:val="0"/>
          <w14:ligatures w14:val="none"/>
        </w:rPr>
        <w:lastRenderedPageBreak/>
        <w:t>Great choice — that tone performs very well on LinkedIn for thought leadership in GRC.</w:t>
      </w:r>
    </w:p>
    <w:p w14:paraId="7599DC7D" w14:textId="77777777" w:rsidR="00C86A7C" w:rsidRPr="00C86A7C" w:rsidRDefault="00C86A7C" w:rsidP="00C86A7C">
      <w:pPr>
        <w:spacing w:before="100" w:beforeAutospacing="1" w:after="100" w:afterAutospacing="1" w:line="240" w:lineRule="auto"/>
        <w:rPr>
          <w:rFonts w:ascii="Times New Roman" w:eastAsia="Times New Roman" w:hAnsi="Times New Roman" w:cs="Times New Roman"/>
          <w:kern w:val="0"/>
          <w14:ligatures w14:val="none"/>
        </w:rPr>
      </w:pPr>
      <w:r w:rsidRPr="00C86A7C">
        <w:rPr>
          <w:rFonts w:ascii="Times New Roman" w:eastAsia="Times New Roman" w:hAnsi="Times New Roman" w:cs="Times New Roman"/>
          <w:kern w:val="0"/>
          <w14:ligatures w14:val="none"/>
        </w:rPr>
        <w:t xml:space="preserve">Here’s a first draft of your </w:t>
      </w:r>
      <w:r w:rsidRPr="00C86A7C">
        <w:rPr>
          <w:rFonts w:ascii="Times New Roman" w:eastAsia="Times New Roman" w:hAnsi="Times New Roman" w:cs="Times New Roman"/>
          <w:b/>
          <w:bCs/>
          <w:kern w:val="0"/>
          <w14:ligatures w14:val="none"/>
        </w:rPr>
        <w:t>insightful and conversational</w:t>
      </w:r>
      <w:r w:rsidRPr="00C86A7C">
        <w:rPr>
          <w:rFonts w:ascii="Times New Roman" w:eastAsia="Times New Roman" w:hAnsi="Times New Roman" w:cs="Times New Roman"/>
          <w:kern w:val="0"/>
          <w14:ligatures w14:val="none"/>
        </w:rPr>
        <w:t xml:space="preserve"> LinkedIn post introducing </w:t>
      </w:r>
      <w:r w:rsidRPr="00C86A7C">
        <w:rPr>
          <w:rFonts w:ascii="Times New Roman" w:eastAsia="Times New Roman" w:hAnsi="Times New Roman" w:cs="Times New Roman"/>
          <w:i/>
          <w:iCs/>
          <w:kern w:val="0"/>
          <w14:ligatures w14:val="none"/>
        </w:rPr>
        <w:t>“Building a Culture of Compliance: The Human Element in Governance, Risk, and Compliance Programs.”</w:t>
      </w:r>
    </w:p>
    <w:p w14:paraId="2AACA9F0"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A7C">
        <w:rPr>
          <w:rFonts w:ascii="Courier New" w:eastAsia="Times New Roman" w:hAnsi="Courier New" w:cs="Courier New"/>
          <w:kern w:val="0"/>
          <w:sz w:val="20"/>
          <w:szCs w:val="20"/>
          <w14:ligatures w14:val="none"/>
        </w:rPr>
        <w:t xml:space="preserve">Compliance isn’t just about ticking boxes or passing audits — it’s about people, values, and shared responsibility.  </w:t>
      </w:r>
    </w:p>
    <w:p w14:paraId="3D001FD9"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D2A27F"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A7C">
        <w:rPr>
          <w:rFonts w:ascii="Courier New" w:eastAsia="Times New Roman" w:hAnsi="Courier New" w:cs="Courier New"/>
          <w:kern w:val="0"/>
          <w:sz w:val="20"/>
          <w:szCs w:val="20"/>
          <w14:ligatures w14:val="none"/>
        </w:rPr>
        <w:t>In my latest article, *“Building a Culture of Compliance: The Human Element in Governance, Risk, and Compliance Programs</w:t>
      </w:r>
      <w:proofErr w:type="gramStart"/>
      <w:r w:rsidRPr="00C86A7C">
        <w:rPr>
          <w:rFonts w:ascii="Courier New" w:eastAsia="Times New Roman" w:hAnsi="Courier New" w:cs="Courier New"/>
          <w:kern w:val="0"/>
          <w:sz w:val="20"/>
          <w:szCs w:val="20"/>
          <w14:ligatures w14:val="none"/>
        </w:rPr>
        <w:t>,”*</w:t>
      </w:r>
      <w:proofErr w:type="gramEnd"/>
      <w:r w:rsidRPr="00C86A7C">
        <w:rPr>
          <w:rFonts w:ascii="Courier New" w:eastAsia="Times New Roman" w:hAnsi="Courier New" w:cs="Courier New"/>
          <w:kern w:val="0"/>
          <w:sz w:val="20"/>
          <w:szCs w:val="20"/>
          <w14:ligatures w14:val="none"/>
        </w:rPr>
        <w:t xml:space="preserve"> I explored how true compliance goes beyond policies and procedures. It’s built on ethical leadership, consistent communication, continuous training, and a workplace culture where doing the right thing becomes second nature.  </w:t>
      </w:r>
    </w:p>
    <w:p w14:paraId="53B0B3BC"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EC05B8"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A7C">
        <w:rPr>
          <w:rFonts w:ascii="Courier New" w:eastAsia="Times New Roman" w:hAnsi="Courier New" w:cs="Courier New"/>
          <w:kern w:val="0"/>
          <w:sz w:val="20"/>
          <w:szCs w:val="20"/>
          <w14:ligatures w14:val="none"/>
        </w:rPr>
        <w:t xml:space="preserve">From empowering employees through awareness programs to leveraging technology that supports transparency and accountability, the goal is clear: make compliance part of how your organization thinks, acts, and grows.  </w:t>
      </w:r>
    </w:p>
    <w:p w14:paraId="45A43631"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BFC12E"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A7C">
        <w:rPr>
          <w:rFonts w:ascii="Courier New" w:eastAsia="Times New Roman" w:hAnsi="Courier New" w:cs="Courier New"/>
          <w:kern w:val="0"/>
          <w:sz w:val="20"/>
          <w:szCs w:val="20"/>
          <w14:ligatures w14:val="none"/>
        </w:rPr>
        <w:t xml:space="preserve">Building a compliance culture isn’t an overnight task — it’s a journey of trust, leadership, and shared values.  </w:t>
      </w:r>
    </w:p>
    <w:p w14:paraId="2262D136"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00D3BE"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A7C">
        <w:rPr>
          <w:rFonts w:ascii="Courier New" w:eastAsia="Times New Roman" w:hAnsi="Courier New" w:cs="Courier New"/>
          <w:kern w:val="0"/>
          <w:sz w:val="20"/>
          <w:szCs w:val="20"/>
          <w14:ligatures w14:val="none"/>
        </w:rPr>
        <w:t xml:space="preserve">I’d love to hear your thoughts — how does your organization nurture ethical behavior and compliance awareness?  </w:t>
      </w:r>
    </w:p>
    <w:p w14:paraId="6EC7F2AB"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B57160" w14:textId="77777777" w:rsidR="00C86A7C" w:rsidRPr="00C86A7C" w:rsidRDefault="00C86A7C" w:rsidP="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A7C">
        <w:rPr>
          <w:rFonts w:ascii="Courier New" w:eastAsia="Times New Roman" w:hAnsi="Courier New" w:cs="Courier New"/>
          <w:kern w:val="0"/>
          <w:sz w:val="20"/>
          <w:szCs w:val="20"/>
          <w14:ligatures w14:val="none"/>
        </w:rPr>
        <w:t>#GRC #ComplianceCulture #EthicalLeadership #RiskManagement #CorporateGovernance #CybersecurityAwareness #DataProtection</w:t>
      </w:r>
    </w:p>
    <w:p w14:paraId="56CB2F0A" w14:textId="77777777" w:rsidR="00C86A7C" w:rsidRPr="00C86A7C" w:rsidRDefault="00C86A7C" w:rsidP="00C86A7C">
      <w:pPr>
        <w:spacing w:before="100" w:beforeAutospacing="1" w:after="100" w:afterAutospacing="1" w:line="240" w:lineRule="auto"/>
        <w:rPr>
          <w:rFonts w:ascii="Times New Roman" w:eastAsia="Times New Roman" w:hAnsi="Times New Roman" w:cs="Times New Roman"/>
          <w:kern w:val="0"/>
          <w14:ligatures w14:val="none"/>
        </w:rPr>
      </w:pPr>
      <w:r w:rsidRPr="00C86A7C">
        <w:rPr>
          <w:rFonts w:ascii="Times New Roman" w:eastAsia="Times New Roman" w:hAnsi="Times New Roman" w:cs="Times New Roman"/>
          <w:kern w:val="0"/>
          <w14:ligatures w14:val="none"/>
        </w:rPr>
        <w:t xml:space="preserve">Would you like me to make a </w:t>
      </w:r>
      <w:r w:rsidRPr="00C86A7C">
        <w:rPr>
          <w:rFonts w:ascii="Times New Roman" w:eastAsia="Times New Roman" w:hAnsi="Times New Roman" w:cs="Times New Roman"/>
          <w:b/>
          <w:bCs/>
          <w:kern w:val="0"/>
          <w14:ligatures w14:val="none"/>
        </w:rPr>
        <w:t>shorter version (under 100 words)</w:t>
      </w:r>
      <w:r w:rsidRPr="00C86A7C">
        <w:rPr>
          <w:rFonts w:ascii="Times New Roman" w:eastAsia="Times New Roman" w:hAnsi="Times New Roman" w:cs="Times New Roman"/>
          <w:kern w:val="0"/>
          <w14:ligatures w14:val="none"/>
        </w:rPr>
        <w:t xml:space="preserve"> as well for posting on X (Twitter) or company pages?</w:t>
      </w:r>
    </w:p>
    <w:p w14:paraId="1E26046A" w14:textId="77777777" w:rsidR="00C86A7C" w:rsidRDefault="00C86A7C" w:rsidP="0002399F">
      <w:pPr>
        <w:pStyle w:val="NormalWeb"/>
      </w:pPr>
    </w:p>
    <w:sectPr w:rsidR="00C86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821CA"/>
    <w:multiLevelType w:val="multilevel"/>
    <w:tmpl w:val="0FB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27831"/>
    <w:multiLevelType w:val="multilevel"/>
    <w:tmpl w:val="838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956B1"/>
    <w:multiLevelType w:val="multilevel"/>
    <w:tmpl w:val="F69A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18688D"/>
    <w:multiLevelType w:val="multilevel"/>
    <w:tmpl w:val="6232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C327F5"/>
    <w:multiLevelType w:val="multilevel"/>
    <w:tmpl w:val="2F62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A3F4D"/>
    <w:multiLevelType w:val="multilevel"/>
    <w:tmpl w:val="50F4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F97"/>
    <w:rsid w:val="0002399F"/>
    <w:rsid w:val="002E25CA"/>
    <w:rsid w:val="006D2238"/>
    <w:rsid w:val="00C86A7C"/>
    <w:rsid w:val="00F06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9D69"/>
  <w15:chartTrackingRefBased/>
  <w15:docId w15:val="{E329FC27-9410-449C-9632-5F1AC3F7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06F9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06F9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6F9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06F9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06F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6F97"/>
    <w:rPr>
      <w:b/>
      <w:bCs/>
    </w:rPr>
  </w:style>
  <w:style w:type="character" w:styleId="Emphasis">
    <w:name w:val="Emphasis"/>
    <w:basedOn w:val="DefaultParagraphFont"/>
    <w:uiPriority w:val="20"/>
    <w:qFormat/>
    <w:rsid w:val="00F06F97"/>
    <w:rPr>
      <w:i/>
      <w:iCs/>
    </w:rPr>
  </w:style>
  <w:style w:type="character" w:styleId="Hyperlink">
    <w:name w:val="Hyperlink"/>
    <w:basedOn w:val="DefaultParagraphFont"/>
    <w:uiPriority w:val="99"/>
    <w:semiHidden/>
    <w:unhideWhenUsed/>
    <w:rsid w:val="0002399F"/>
    <w:rPr>
      <w:color w:val="0000FF"/>
      <w:u w:val="single"/>
    </w:rPr>
  </w:style>
  <w:style w:type="paragraph" w:styleId="HTMLPreformatted">
    <w:name w:val="HTML Preformatted"/>
    <w:basedOn w:val="Normal"/>
    <w:link w:val="HTMLPreformattedChar"/>
    <w:uiPriority w:val="99"/>
    <w:semiHidden/>
    <w:unhideWhenUsed/>
    <w:rsid w:val="00C86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6A7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86A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082298">
      <w:bodyDiv w:val="1"/>
      <w:marLeft w:val="0"/>
      <w:marRight w:val="0"/>
      <w:marTop w:val="0"/>
      <w:marBottom w:val="0"/>
      <w:divBdr>
        <w:top w:val="none" w:sz="0" w:space="0" w:color="auto"/>
        <w:left w:val="none" w:sz="0" w:space="0" w:color="auto"/>
        <w:bottom w:val="none" w:sz="0" w:space="0" w:color="auto"/>
        <w:right w:val="none" w:sz="0" w:space="0" w:color="auto"/>
      </w:divBdr>
    </w:div>
    <w:div w:id="705179123">
      <w:bodyDiv w:val="1"/>
      <w:marLeft w:val="0"/>
      <w:marRight w:val="0"/>
      <w:marTop w:val="0"/>
      <w:marBottom w:val="0"/>
      <w:divBdr>
        <w:top w:val="none" w:sz="0" w:space="0" w:color="auto"/>
        <w:left w:val="none" w:sz="0" w:space="0" w:color="auto"/>
        <w:bottom w:val="none" w:sz="0" w:space="0" w:color="auto"/>
        <w:right w:val="none" w:sz="0" w:space="0" w:color="auto"/>
      </w:divBdr>
    </w:div>
    <w:div w:id="145335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 TargetMode="External"/><Relationship Id="rId3" Type="http://schemas.openxmlformats.org/officeDocument/2006/relationships/settings" Target="settings.xml"/><Relationship Id="rId7" Type="http://schemas.openxmlformats.org/officeDocument/2006/relationships/hyperlink" Target="https://home.kpm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y.com/" TargetMode="External"/><Relationship Id="rId11" Type="http://schemas.openxmlformats.org/officeDocument/2006/relationships/fontTable" Target="fontTable.xml"/><Relationship Id="rId5" Type="http://schemas.openxmlformats.org/officeDocument/2006/relationships/hyperlink" Target="https://www.deloitte.com/" TargetMode="External"/><Relationship Id="rId10" Type="http://schemas.openxmlformats.org/officeDocument/2006/relationships/hyperlink" Target="https://www.weforum.org/" TargetMode="External"/><Relationship Id="rId4" Type="http://schemas.openxmlformats.org/officeDocument/2006/relationships/webSettings" Target="webSettings.xml"/><Relationship Id="rId9" Type="http://schemas.openxmlformats.org/officeDocument/2006/relationships/hyperlink" Target="https://www.pw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3810</Words>
  <Characters>21719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2025-10-20T10:33:00Z</dcterms:created>
  <dcterms:modified xsi:type="dcterms:W3CDTF">2025-10-20T10:56:00Z</dcterms:modified>
</cp:coreProperties>
</file>