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717E8" w14:textId="33720694" w:rsidR="00347497" w:rsidRPr="00E31E25" w:rsidRDefault="00347497" w:rsidP="00347497">
      <w:pPr>
        <w:spacing w:line="240" w:lineRule="auto"/>
        <w:jc w:val="center"/>
        <w:rPr>
          <w:rFonts w:ascii="Times New Roman" w:hAnsi="Times New Roman" w:cs="Times New Roman"/>
          <w:sz w:val="44"/>
          <w:szCs w:val="44"/>
        </w:rPr>
      </w:pPr>
      <w:r w:rsidRPr="00E31E25">
        <w:rPr>
          <w:rFonts w:ascii="Times New Roman" w:hAnsi="Times New Roman" w:cs="Times New Roman"/>
          <w:sz w:val="44"/>
          <w:szCs w:val="44"/>
        </w:rPr>
        <w:t>ASSIGNMENT</w:t>
      </w:r>
    </w:p>
    <w:p w14:paraId="3E4D178B" w14:textId="77777777" w:rsidR="00347497" w:rsidRPr="00E31E25" w:rsidRDefault="00347497" w:rsidP="00347497">
      <w:pPr>
        <w:spacing w:line="240" w:lineRule="auto"/>
        <w:jc w:val="center"/>
        <w:rPr>
          <w:rFonts w:ascii="Times New Roman" w:hAnsi="Times New Roman" w:cs="Times New Roman"/>
          <w:sz w:val="44"/>
          <w:szCs w:val="44"/>
        </w:rPr>
      </w:pPr>
    </w:p>
    <w:p w14:paraId="2E8D0E6E" w14:textId="77777777" w:rsidR="00347497" w:rsidRPr="00E31E25" w:rsidRDefault="00347497" w:rsidP="00347497">
      <w:pPr>
        <w:spacing w:line="240" w:lineRule="auto"/>
        <w:jc w:val="center"/>
        <w:rPr>
          <w:rFonts w:ascii="Times New Roman" w:hAnsi="Times New Roman" w:cs="Times New Roman"/>
          <w:sz w:val="44"/>
          <w:szCs w:val="44"/>
        </w:rPr>
      </w:pPr>
      <w:r w:rsidRPr="00E31E25">
        <w:rPr>
          <w:rFonts w:ascii="Times New Roman" w:hAnsi="Times New Roman" w:cs="Times New Roman"/>
          <w:sz w:val="44"/>
          <w:szCs w:val="44"/>
        </w:rPr>
        <w:t>Student Name</w:t>
      </w:r>
    </w:p>
    <w:p w14:paraId="746F711E" w14:textId="77777777" w:rsidR="00347497" w:rsidRPr="00E31E25" w:rsidRDefault="00347497" w:rsidP="00347497">
      <w:pPr>
        <w:spacing w:line="240" w:lineRule="auto"/>
        <w:jc w:val="center"/>
        <w:rPr>
          <w:rFonts w:ascii="Times New Roman" w:hAnsi="Times New Roman" w:cs="Times New Roman"/>
          <w:sz w:val="44"/>
          <w:szCs w:val="44"/>
        </w:rPr>
      </w:pPr>
      <w:r w:rsidRPr="00E31E25">
        <w:rPr>
          <w:rFonts w:ascii="Times New Roman" w:hAnsi="Times New Roman" w:cs="Times New Roman"/>
          <w:sz w:val="44"/>
          <w:szCs w:val="44"/>
        </w:rPr>
        <w:t>Oluwatimilehin Oluwagbemi</w:t>
      </w:r>
    </w:p>
    <w:p w14:paraId="72537FF6" w14:textId="77777777" w:rsidR="00347497" w:rsidRPr="00E31E25" w:rsidRDefault="00347497" w:rsidP="00347497">
      <w:pPr>
        <w:spacing w:line="240" w:lineRule="auto"/>
        <w:jc w:val="center"/>
        <w:rPr>
          <w:rFonts w:ascii="Times New Roman" w:hAnsi="Times New Roman" w:cs="Times New Roman"/>
          <w:sz w:val="44"/>
          <w:szCs w:val="44"/>
        </w:rPr>
      </w:pPr>
    </w:p>
    <w:p w14:paraId="0860E826" w14:textId="77777777" w:rsidR="00347497" w:rsidRPr="00E31E25" w:rsidRDefault="00347497" w:rsidP="00347497">
      <w:pPr>
        <w:spacing w:line="240" w:lineRule="auto"/>
        <w:jc w:val="center"/>
        <w:rPr>
          <w:rFonts w:ascii="Times New Roman" w:hAnsi="Times New Roman" w:cs="Times New Roman"/>
          <w:sz w:val="44"/>
          <w:szCs w:val="44"/>
        </w:rPr>
      </w:pPr>
      <w:r w:rsidRPr="00E31E25">
        <w:rPr>
          <w:rFonts w:ascii="Times New Roman" w:hAnsi="Times New Roman" w:cs="Times New Roman"/>
          <w:sz w:val="44"/>
          <w:szCs w:val="44"/>
        </w:rPr>
        <w:t>Reg. No</w:t>
      </w:r>
    </w:p>
    <w:p w14:paraId="08B69CF3" w14:textId="77777777" w:rsidR="00347497" w:rsidRPr="00E31E25" w:rsidRDefault="00347497" w:rsidP="00347497">
      <w:pPr>
        <w:spacing w:line="240" w:lineRule="auto"/>
        <w:jc w:val="center"/>
        <w:rPr>
          <w:rFonts w:ascii="Times New Roman" w:hAnsi="Times New Roman" w:cs="Times New Roman"/>
          <w:sz w:val="44"/>
          <w:szCs w:val="44"/>
        </w:rPr>
      </w:pPr>
      <w:r w:rsidRPr="00E31E25">
        <w:rPr>
          <w:rFonts w:ascii="Times New Roman" w:hAnsi="Times New Roman" w:cs="Times New Roman"/>
          <w:sz w:val="44"/>
          <w:szCs w:val="44"/>
        </w:rPr>
        <w:t>2025/GRC/10712</w:t>
      </w:r>
    </w:p>
    <w:p w14:paraId="60AFD105" w14:textId="77777777" w:rsidR="00347497" w:rsidRPr="00E31E25" w:rsidRDefault="00347497" w:rsidP="00347497">
      <w:pPr>
        <w:spacing w:line="240" w:lineRule="auto"/>
        <w:jc w:val="center"/>
        <w:rPr>
          <w:rFonts w:ascii="Times New Roman" w:hAnsi="Times New Roman" w:cs="Times New Roman"/>
          <w:sz w:val="44"/>
          <w:szCs w:val="44"/>
        </w:rPr>
      </w:pPr>
    </w:p>
    <w:p w14:paraId="1C7A91CE" w14:textId="136BC41B" w:rsidR="00347497" w:rsidRPr="00E31E25" w:rsidRDefault="00347497" w:rsidP="00347497">
      <w:pPr>
        <w:spacing w:line="240" w:lineRule="auto"/>
        <w:jc w:val="center"/>
        <w:rPr>
          <w:rFonts w:ascii="Times New Roman" w:hAnsi="Times New Roman" w:cs="Times New Roman"/>
          <w:sz w:val="44"/>
          <w:szCs w:val="44"/>
        </w:rPr>
      </w:pPr>
      <w:r>
        <w:rPr>
          <w:rFonts w:ascii="Times New Roman" w:hAnsi="Times New Roman" w:cs="Times New Roman"/>
          <w:sz w:val="44"/>
          <w:szCs w:val="44"/>
        </w:rPr>
        <w:t>7</w:t>
      </w:r>
      <w:r w:rsidRPr="00347497">
        <w:rPr>
          <w:rFonts w:ascii="Times New Roman" w:hAnsi="Times New Roman" w:cs="Times New Roman"/>
          <w:sz w:val="44"/>
          <w:szCs w:val="44"/>
          <w:vertAlign w:val="superscript"/>
        </w:rPr>
        <w:t>th</w:t>
      </w:r>
      <w:r>
        <w:rPr>
          <w:rFonts w:ascii="Times New Roman" w:hAnsi="Times New Roman" w:cs="Times New Roman"/>
          <w:sz w:val="44"/>
          <w:szCs w:val="44"/>
        </w:rPr>
        <w:t xml:space="preserve"> </w:t>
      </w:r>
      <w:proofErr w:type="spellStart"/>
      <w:r>
        <w:rPr>
          <w:rFonts w:ascii="Times New Roman" w:hAnsi="Times New Roman" w:cs="Times New Roman"/>
          <w:sz w:val="44"/>
          <w:szCs w:val="44"/>
        </w:rPr>
        <w:t>Spetember</w:t>
      </w:r>
      <w:proofErr w:type="spellEnd"/>
      <w:r w:rsidRPr="00E31E25">
        <w:rPr>
          <w:rFonts w:ascii="Times New Roman" w:hAnsi="Times New Roman" w:cs="Times New Roman"/>
          <w:sz w:val="44"/>
          <w:szCs w:val="44"/>
        </w:rPr>
        <w:t>, 2025</w:t>
      </w:r>
    </w:p>
    <w:p w14:paraId="2538580A" w14:textId="77777777" w:rsidR="00347497" w:rsidRPr="00E31E25" w:rsidRDefault="00347497" w:rsidP="00347497">
      <w:pPr>
        <w:spacing w:line="240" w:lineRule="auto"/>
        <w:jc w:val="center"/>
        <w:rPr>
          <w:rFonts w:ascii="Times New Roman" w:hAnsi="Times New Roman" w:cs="Times New Roman"/>
          <w:sz w:val="44"/>
          <w:szCs w:val="44"/>
        </w:rPr>
      </w:pPr>
    </w:p>
    <w:p w14:paraId="7D96470E" w14:textId="77777777" w:rsidR="00347497" w:rsidRPr="00E31E25" w:rsidRDefault="00347497" w:rsidP="00347497">
      <w:pPr>
        <w:spacing w:line="240" w:lineRule="auto"/>
        <w:jc w:val="center"/>
        <w:rPr>
          <w:rFonts w:ascii="Times New Roman" w:hAnsi="Times New Roman" w:cs="Times New Roman"/>
          <w:sz w:val="44"/>
          <w:szCs w:val="44"/>
        </w:rPr>
      </w:pPr>
      <w:r w:rsidRPr="00E31E25">
        <w:rPr>
          <w:rFonts w:ascii="Times New Roman" w:hAnsi="Times New Roman" w:cs="Times New Roman"/>
          <w:sz w:val="44"/>
          <w:szCs w:val="44"/>
        </w:rPr>
        <w:t>Course Title</w:t>
      </w:r>
    </w:p>
    <w:p w14:paraId="0930D29C" w14:textId="261ABEFD" w:rsidR="00347497" w:rsidRPr="00E31E25" w:rsidRDefault="00347497" w:rsidP="00347497">
      <w:pPr>
        <w:spacing w:line="240" w:lineRule="auto"/>
        <w:jc w:val="center"/>
        <w:rPr>
          <w:rFonts w:ascii="Times New Roman" w:hAnsi="Times New Roman" w:cs="Times New Roman"/>
          <w:sz w:val="44"/>
          <w:szCs w:val="44"/>
        </w:rPr>
      </w:pPr>
      <w:r w:rsidRPr="00E31E25">
        <w:rPr>
          <w:rFonts w:ascii="Times New Roman" w:hAnsi="Times New Roman" w:cs="Times New Roman"/>
          <w:sz w:val="44"/>
          <w:szCs w:val="44"/>
        </w:rPr>
        <w:t xml:space="preserve">GRC 101 – </w:t>
      </w:r>
      <w:r>
        <w:rPr>
          <w:rFonts w:ascii="Times New Roman" w:hAnsi="Times New Roman" w:cs="Times New Roman"/>
          <w:sz w:val="44"/>
          <w:szCs w:val="44"/>
        </w:rPr>
        <w:t>Information Security Governance</w:t>
      </w:r>
    </w:p>
    <w:p w14:paraId="68F0D843" w14:textId="77777777" w:rsidR="00347497" w:rsidRDefault="00347497" w:rsidP="00CF099F">
      <w:pPr>
        <w:pStyle w:val="Heading2"/>
        <w:rPr>
          <w:rStyle w:val="Strong"/>
          <w:sz w:val="28"/>
          <w:szCs w:val="28"/>
        </w:rPr>
      </w:pPr>
    </w:p>
    <w:p w14:paraId="3A0F65DC" w14:textId="77777777" w:rsidR="00347497" w:rsidRDefault="00347497" w:rsidP="00CF099F">
      <w:pPr>
        <w:pStyle w:val="Heading2"/>
        <w:rPr>
          <w:rStyle w:val="Strong"/>
          <w:sz w:val="28"/>
          <w:szCs w:val="28"/>
        </w:rPr>
      </w:pPr>
    </w:p>
    <w:p w14:paraId="14DE5723" w14:textId="77777777" w:rsidR="00347497" w:rsidRDefault="00347497" w:rsidP="00CF099F">
      <w:pPr>
        <w:pStyle w:val="Heading2"/>
        <w:rPr>
          <w:rStyle w:val="Strong"/>
          <w:sz w:val="28"/>
          <w:szCs w:val="28"/>
        </w:rPr>
      </w:pPr>
    </w:p>
    <w:p w14:paraId="0EF8C3F4" w14:textId="77777777" w:rsidR="00347497" w:rsidRDefault="00347497" w:rsidP="00CF099F">
      <w:pPr>
        <w:pStyle w:val="Heading2"/>
        <w:rPr>
          <w:rStyle w:val="Strong"/>
          <w:sz w:val="28"/>
          <w:szCs w:val="28"/>
        </w:rPr>
      </w:pPr>
    </w:p>
    <w:p w14:paraId="36003569" w14:textId="77777777" w:rsidR="00347497" w:rsidRDefault="00347497" w:rsidP="00CF099F">
      <w:pPr>
        <w:pStyle w:val="Heading2"/>
        <w:rPr>
          <w:rStyle w:val="Strong"/>
          <w:sz w:val="28"/>
          <w:szCs w:val="28"/>
        </w:rPr>
      </w:pPr>
    </w:p>
    <w:p w14:paraId="4ACF554A" w14:textId="77777777" w:rsidR="00347497" w:rsidRDefault="00347497" w:rsidP="00CF099F">
      <w:pPr>
        <w:pStyle w:val="Heading2"/>
        <w:rPr>
          <w:rStyle w:val="Strong"/>
          <w:sz w:val="28"/>
          <w:szCs w:val="28"/>
        </w:rPr>
      </w:pPr>
    </w:p>
    <w:p w14:paraId="1DB013FD" w14:textId="77777777" w:rsidR="00347497" w:rsidRDefault="00347497" w:rsidP="00CF099F">
      <w:pPr>
        <w:pStyle w:val="Heading2"/>
        <w:rPr>
          <w:rStyle w:val="Strong"/>
          <w:sz w:val="28"/>
          <w:szCs w:val="28"/>
        </w:rPr>
      </w:pPr>
    </w:p>
    <w:p w14:paraId="0BF0C6C6" w14:textId="77777777" w:rsidR="00347497" w:rsidRDefault="00347497" w:rsidP="00CF099F">
      <w:pPr>
        <w:pStyle w:val="Heading2"/>
        <w:rPr>
          <w:rStyle w:val="Strong"/>
          <w:sz w:val="28"/>
          <w:szCs w:val="28"/>
        </w:rPr>
      </w:pPr>
    </w:p>
    <w:p w14:paraId="7A0E9225" w14:textId="2F0FCB23" w:rsidR="00CF099F" w:rsidRPr="006C49B3" w:rsidRDefault="00CE6170" w:rsidP="00CF099F">
      <w:pPr>
        <w:pStyle w:val="Heading2"/>
        <w:rPr>
          <w:sz w:val="28"/>
          <w:szCs w:val="28"/>
        </w:rPr>
      </w:pPr>
      <w:r w:rsidRPr="006C49B3">
        <w:rPr>
          <w:rStyle w:val="Strong"/>
          <w:sz w:val="28"/>
          <w:szCs w:val="28"/>
        </w:rPr>
        <w:lastRenderedPageBreak/>
        <w:t>Introduction</w:t>
      </w:r>
    </w:p>
    <w:p w14:paraId="2504F0AD" w14:textId="7D63898E" w:rsidR="005148D0" w:rsidRPr="005148D0" w:rsidRDefault="00054D4E" w:rsidP="005148D0">
      <w:pPr>
        <w:pStyle w:val="NormalWeb"/>
        <w:jc w:val="both"/>
        <w:rPr>
          <w:lang w:val="en-GB"/>
        </w:rPr>
      </w:pPr>
      <w:r>
        <w:rPr>
          <w:lang w:val="en-GB"/>
        </w:rPr>
        <w:t>This assignment focused on</w:t>
      </w:r>
      <w:r w:rsidR="005148D0" w:rsidRPr="005148D0">
        <w:rPr>
          <w:lang w:val="en-GB"/>
        </w:rPr>
        <w:t xml:space="preserve"> a thorough examination of security governance using organizational data and actual incidents. It begins by looking at how the Chief Information Security Officer's (CISO) role has changed over time, emphasizing </w:t>
      </w:r>
      <w:r w:rsidR="006C49B3">
        <w:rPr>
          <w:lang w:val="en-GB"/>
        </w:rPr>
        <w:t xml:space="preserve">on </w:t>
      </w:r>
      <w:r w:rsidR="005148D0" w:rsidRPr="005148D0">
        <w:rPr>
          <w:lang w:val="en-GB"/>
        </w:rPr>
        <w:t xml:space="preserve">the move from technical supervision to strategic leadership. Uber's breach concealment case </w:t>
      </w:r>
      <w:r>
        <w:rPr>
          <w:lang w:val="en-GB"/>
        </w:rPr>
        <w:t xml:space="preserve">was used </w:t>
      </w:r>
      <w:r w:rsidR="005148D0" w:rsidRPr="005148D0">
        <w:rPr>
          <w:lang w:val="en-GB"/>
        </w:rPr>
        <w:t>to highlight the negative effects of executive-level unethical behavior and lack of oversight.</w:t>
      </w:r>
    </w:p>
    <w:p w14:paraId="33A953E3" w14:textId="479D6106" w:rsidR="005148D0" w:rsidRPr="005148D0" w:rsidRDefault="005148D0" w:rsidP="005148D0">
      <w:pPr>
        <w:pStyle w:val="Heading3"/>
        <w:jc w:val="both"/>
        <w:rPr>
          <w:rFonts w:ascii="Times New Roman" w:eastAsia="Times New Roman" w:hAnsi="Times New Roman" w:cs="Times New Roman"/>
          <w:color w:val="auto"/>
          <w:kern w:val="0"/>
          <w:lang w:val="en-GB"/>
          <w14:ligatures w14:val="none"/>
        </w:rPr>
      </w:pPr>
      <w:r w:rsidRPr="005148D0">
        <w:rPr>
          <w:rFonts w:ascii="Times New Roman" w:eastAsia="Times New Roman" w:hAnsi="Times New Roman" w:cs="Times New Roman"/>
          <w:color w:val="auto"/>
          <w:kern w:val="0"/>
          <w:lang w:val="en-GB"/>
          <w14:ligatures w14:val="none"/>
        </w:rPr>
        <w:t xml:space="preserve">Colonial Pipeline ransomware attack </w:t>
      </w:r>
      <w:r w:rsidR="00054D4E">
        <w:rPr>
          <w:rFonts w:ascii="Times New Roman" w:eastAsia="Times New Roman" w:hAnsi="Times New Roman" w:cs="Times New Roman"/>
          <w:color w:val="auto"/>
          <w:kern w:val="0"/>
          <w:lang w:val="en-GB"/>
          <w14:ligatures w14:val="none"/>
        </w:rPr>
        <w:t>which</w:t>
      </w:r>
      <w:r w:rsidRPr="005148D0">
        <w:rPr>
          <w:rFonts w:ascii="Times New Roman" w:eastAsia="Times New Roman" w:hAnsi="Times New Roman" w:cs="Times New Roman"/>
          <w:color w:val="auto"/>
          <w:kern w:val="0"/>
          <w:lang w:val="en-GB"/>
          <w14:ligatures w14:val="none"/>
        </w:rPr>
        <w:t xml:space="preserve"> reveals governance flaws such as outdated infrastructure, loose access controls, and low board participation</w:t>
      </w:r>
      <w:r w:rsidR="006C49B3">
        <w:rPr>
          <w:rFonts w:ascii="Times New Roman" w:eastAsia="Times New Roman" w:hAnsi="Times New Roman" w:cs="Times New Roman"/>
          <w:color w:val="auto"/>
          <w:kern w:val="0"/>
          <w:lang w:val="en-GB"/>
          <w14:ligatures w14:val="none"/>
        </w:rPr>
        <w:t xml:space="preserve"> is the case study addressed</w:t>
      </w:r>
      <w:r w:rsidRPr="005148D0">
        <w:rPr>
          <w:rFonts w:ascii="Times New Roman" w:eastAsia="Times New Roman" w:hAnsi="Times New Roman" w:cs="Times New Roman"/>
          <w:color w:val="auto"/>
          <w:kern w:val="0"/>
          <w:lang w:val="en-GB"/>
          <w14:ligatures w14:val="none"/>
        </w:rPr>
        <w:t>. When these observations are applied to incident data from NDPC, a multinational IT company, it is evident that the risks are similar. The NDPC dataset analysis reveals three key governance gaps: the high cost of severe incidents, inconsistent departmental performance, and incomplete incident closure.</w:t>
      </w:r>
    </w:p>
    <w:p w14:paraId="1EC35958" w14:textId="42E2FB99" w:rsidR="005148D0" w:rsidRPr="006C49B3" w:rsidRDefault="005148D0" w:rsidP="005148D0">
      <w:pPr>
        <w:pStyle w:val="Heading3"/>
        <w:rPr>
          <w:rFonts w:ascii="Times New Roman" w:hAnsi="Times New Roman" w:cs="Times New Roman"/>
          <w:color w:val="auto"/>
          <w:lang w:val="en-GB"/>
        </w:rPr>
      </w:pPr>
      <w:r w:rsidRPr="006C49B3">
        <w:rPr>
          <w:rFonts w:ascii="Times New Roman" w:hAnsi="Times New Roman" w:cs="Times New Roman"/>
          <w:color w:val="auto"/>
          <w:lang w:val="en-GB"/>
        </w:rPr>
        <w:t xml:space="preserve">The </w:t>
      </w:r>
      <w:r w:rsidR="00054D4E" w:rsidRPr="006C49B3">
        <w:rPr>
          <w:rFonts w:ascii="Times New Roman" w:hAnsi="Times New Roman" w:cs="Times New Roman"/>
          <w:color w:val="auto"/>
          <w:lang w:val="en-GB"/>
        </w:rPr>
        <w:t xml:space="preserve">assignment </w:t>
      </w:r>
      <w:r w:rsidR="00EB2B03" w:rsidRPr="006C49B3">
        <w:rPr>
          <w:rFonts w:ascii="Times New Roman" w:hAnsi="Times New Roman" w:cs="Times New Roman"/>
          <w:color w:val="auto"/>
          <w:lang w:val="en-GB"/>
        </w:rPr>
        <w:t>concludes</w:t>
      </w:r>
      <w:r w:rsidRPr="006C49B3">
        <w:rPr>
          <w:rFonts w:ascii="Times New Roman" w:hAnsi="Times New Roman" w:cs="Times New Roman"/>
          <w:color w:val="auto"/>
          <w:lang w:val="en-GB"/>
        </w:rPr>
        <w:t xml:space="preserve"> with practical suggestions for NDPC, such as improved board-level cybersecurity oversight, SLA-based incident tracking, and infrastructure modernization. These tactics are based on industry best practices and conform to international standards like ISO/IEC 27001 and NIST.</w:t>
      </w:r>
    </w:p>
    <w:p w14:paraId="386C24AF" w14:textId="77777777" w:rsidR="00CA5E8D" w:rsidRPr="00CE6170" w:rsidRDefault="00CA5E8D" w:rsidP="00CA5E8D">
      <w:pPr>
        <w:pStyle w:val="Heading3"/>
        <w:rPr>
          <w:rFonts w:ascii="Times New Roman" w:hAnsi="Times New Roman" w:cs="Times New Roman"/>
        </w:rPr>
      </w:pPr>
    </w:p>
    <w:p w14:paraId="666DA891" w14:textId="10D437C4" w:rsidR="00CF099F" w:rsidRPr="00BB1C17" w:rsidRDefault="00CF099F" w:rsidP="00CA5E8D">
      <w:pPr>
        <w:pStyle w:val="Heading3"/>
        <w:rPr>
          <w:rFonts w:ascii="Times New Roman" w:hAnsi="Times New Roman" w:cs="Times New Roman"/>
          <w:color w:val="auto"/>
        </w:rPr>
      </w:pPr>
      <w:r w:rsidRPr="00BB1C17">
        <w:rPr>
          <w:rStyle w:val="Strong"/>
          <w:rFonts w:ascii="Times New Roman" w:hAnsi="Times New Roman" w:cs="Times New Roman"/>
          <w:color w:val="auto"/>
        </w:rPr>
        <w:t>The Evolving Role of the Chief Information Security Officer (CISO)</w:t>
      </w:r>
    </w:p>
    <w:p w14:paraId="045FADEA" w14:textId="525C7ED9" w:rsidR="00BB1C17" w:rsidRPr="00BB1C17" w:rsidRDefault="00BB1C17" w:rsidP="00BB1C17">
      <w:pPr>
        <w:pStyle w:val="NormalWeb"/>
        <w:rPr>
          <w:lang w:val="en-GB"/>
        </w:rPr>
      </w:pPr>
      <w:r w:rsidRPr="00BB1C17">
        <w:rPr>
          <w:lang w:val="en-GB"/>
        </w:rPr>
        <w:t>The Chief Information Security Officer (CISO) now plays a strategic, board-</w:t>
      </w:r>
      <w:r w:rsidR="006C49B3">
        <w:rPr>
          <w:lang w:val="en-GB"/>
        </w:rPr>
        <w:t>level</w:t>
      </w:r>
      <w:r w:rsidRPr="00BB1C17">
        <w:rPr>
          <w:lang w:val="en-GB"/>
        </w:rPr>
        <w:t xml:space="preserve"> leadership role, having changed from a largely technical one over the last ten years. CISOs were traditionally responsible for overseeing technical compliance, managing firewalls, and keeping an eye on threats. However, CISOs are now expected to function as business enablers, striking a balance between security requirements and organizational growth objectives, as the threat landscape has become more complex and regulatory scrutiny has increased</w:t>
      </w:r>
      <w:r w:rsidR="00A622F0">
        <w:rPr>
          <w:lang w:val="en-GB"/>
        </w:rPr>
        <w:t>.</w:t>
      </w:r>
    </w:p>
    <w:p w14:paraId="550DBFFD" w14:textId="77777777" w:rsidR="00CF099F" w:rsidRPr="00CE6170" w:rsidRDefault="00CF099F" w:rsidP="00CF099F">
      <w:pPr>
        <w:pStyle w:val="NormalWeb"/>
      </w:pPr>
      <w:r w:rsidRPr="00CE6170">
        <w:rPr>
          <w:rStyle w:val="Strong"/>
        </w:rPr>
        <w:t>Shift in Responsibilities:</w:t>
      </w:r>
    </w:p>
    <w:p w14:paraId="1C22CB07" w14:textId="4251FB35" w:rsidR="00BB1C17" w:rsidRDefault="00BB1C17" w:rsidP="00BB1C17">
      <w:pPr>
        <w:pStyle w:val="NormalWeb"/>
        <w:numPr>
          <w:ilvl w:val="0"/>
          <w:numId w:val="6"/>
        </w:numPr>
        <w:rPr>
          <w:lang w:val="en-GB"/>
        </w:rPr>
      </w:pPr>
      <w:r w:rsidRPr="00BB1C17">
        <w:rPr>
          <w:lang w:val="en-GB"/>
        </w:rPr>
        <w:t>In the past, CISOs concentrated only on technical configurations, perimeter</w:t>
      </w:r>
      <w:r w:rsidR="00B705D9">
        <w:rPr>
          <w:lang w:val="en-GB"/>
        </w:rPr>
        <w:t>/firewall</w:t>
      </w:r>
      <w:r w:rsidRPr="00BB1C17">
        <w:rPr>
          <w:lang w:val="en-GB"/>
        </w:rPr>
        <w:t xml:space="preserve"> defense, and IT security controls. </w:t>
      </w:r>
    </w:p>
    <w:p w14:paraId="2D4BB876" w14:textId="3CBB3358" w:rsidR="00BB1C17" w:rsidRPr="00BB1C17" w:rsidRDefault="00BB1C17" w:rsidP="00BB1C17">
      <w:pPr>
        <w:pStyle w:val="NormalWeb"/>
        <w:numPr>
          <w:ilvl w:val="0"/>
          <w:numId w:val="6"/>
        </w:numPr>
        <w:rPr>
          <w:lang w:val="en-GB"/>
        </w:rPr>
      </w:pPr>
      <w:r w:rsidRPr="00BB1C17">
        <w:rPr>
          <w:lang w:val="en-GB"/>
        </w:rPr>
        <w:t>Currently, CISOs are directly responsible for security governance and resilience, supervise enterprise-wide risk management, and guarantee adherence to international laws (such as GDPR, HIPAA, and PCI DSS). In order for executives and boards to make well-informed risk-based decisions, they must convey security priorities in business terms (Gartner, 202</w:t>
      </w:r>
      <w:r w:rsidR="006E0266">
        <w:rPr>
          <w:lang w:val="en-GB"/>
        </w:rPr>
        <w:t>4</w:t>
      </w:r>
      <w:r w:rsidRPr="00BB1C17">
        <w:rPr>
          <w:lang w:val="en-GB"/>
        </w:rPr>
        <w:t>).</w:t>
      </w:r>
    </w:p>
    <w:p w14:paraId="778A02D7" w14:textId="77777777" w:rsidR="00CF099F" w:rsidRPr="00CE6170" w:rsidRDefault="00CF099F" w:rsidP="00CF099F">
      <w:pPr>
        <w:pStyle w:val="NormalWeb"/>
      </w:pPr>
      <w:r w:rsidRPr="00CE6170">
        <w:rPr>
          <w:rStyle w:val="Strong"/>
        </w:rPr>
        <w:t>Shift in Reporting Structure:</w:t>
      </w:r>
    </w:p>
    <w:p w14:paraId="68149522" w14:textId="77777777" w:rsidR="00F25E2E" w:rsidRDefault="00F25E2E" w:rsidP="00F25E2E">
      <w:pPr>
        <w:pStyle w:val="ListParagraph"/>
        <w:numPr>
          <w:ilvl w:val="0"/>
          <w:numId w:val="7"/>
        </w:numPr>
        <w:rPr>
          <w:rFonts w:ascii="Times New Roman" w:eastAsia="Times New Roman" w:hAnsi="Times New Roman" w:cs="Times New Roman"/>
          <w:kern w:val="0"/>
          <w:lang w:val="en-GB"/>
          <w14:ligatures w14:val="none"/>
        </w:rPr>
      </w:pPr>
      <w:r w:rsidRPr="00F25E2E">
        <w:rPr>
          <w:rFonts w:ascii="Times New Roman" w:eastAsia="Times New Roman" w:hAnsi="Times New Roman" w:cs="Times New Roman"/>
          <w:kern w:val="0"/>
          <w:lang w:val="en-GB"/>
          <w14:ligatures w14:val="none"/>
        </w:rPr>
        <w:t xml:space="preserve">In the past, CISOs frequently answered to the CIO, which posed the risk of presenting security as an IT subset. </w:t>
      </w:r>
    </w:p>
    <w:p w14:paraId="7C106043" w14:textId="38011977" w:rsidR="00F25E2E" w:rsidRPr="00F25E2E" w:rsidRDefault="00F25E2E" w:rsidP="00F25E2E">
      <w:pPr>
        <w:pStyle w:val="ListParagraph"/>
        <w:numPr>
          <w:ilvl w:val="0"/>
          <w:numId w:val="7"/>
        </w:numPr>
        <w:rPr>
          <w:rFonts w:ascii="Times New Roman" w:eastAsia="Times New Roman" w:hAnsi="Times New Roman" w:cs="Times New Roman"/>
          <w:kern w:val="0"/>
          <w:lang w:val="en-GB"/>
          <w14:ligatures w14:val="none"/>
        </w:rPr>
      </w:pPr>
      <w:r w:rsidRPr="00F25E2E">
        <w:rPr>
          <w:rFonts w:ascii="Times New Roman" w:eastAsia="Times New Roman" w:hAnsi="Times New Roman" w:cs="Times New Roman"/>
          <w:kern w:val="0"/>
          <w:lang w:val="en-GB"/>
          <w14:ligatures w14:val="none"/>
        </w:rPr>
        <w:lastRenderedPageBreak/>
        <w:t>The strategic significance of cybersecurity governance is highlighted by the fact that many organizations today have reorganized so that CISOs report directly to the CEO or the board of directors</w:t>
      </w:r>
      <w:r w:rsidR="00EA3FD8">
        <w:rPr>
          <w:rFonts w:ascii="Times New Roman" w:eastAsia="Times New Roman" w:hAnsi="Times New Roman" w:cs="Times New Roman"/>
          <w:kern w:val="0"/>
          <w:lang w:val="en-GB"/>
          <w14:ligatures w14:val="none"/>
        </w:rPr>
        <w:t>.</w:t>
      </w:r>
    </w:p>
    <w:p w14:paraId="0297A81B" w14:textId="359351AF" w:rsidR="002E25CA" w:rsidRPr="00054D4E" w:rsidRDefault="00CF099F" w:rsidP="00CF099F">
      <w:pPr>
        <w:rPr>
          <w:rFonts w:ascii="Times New Roman" w:hAnsi="Times New Roman" w:cs="Times New Roman"/>
          <w:lang w:val="en-GB"/>
        </w:rPr>
      </w:pPr>
      <w:r w:rsidRPr="00CE6170">
        <w:rPr>
          <w:rStyle w:val="Strong"/>
          <w:rFonts w:ascii="Times New Roman" w:hAnsi="Times New Roman" w:cs="Times New Roman"/>
        </w:rPr>
        <w:t>Real-World Example:</w:t>
      </w:r>
      <w:r w:rsidRPr="00CE6170">
        <w:rPr>
          <w:rFonts w:ascii="Times New Roman" w:hAnsi="Times New Roman" w:cs="Times New Roman"/>
        </w:rPr>
        <w:br/>
      </w:r>
      <w:r w:rsidR="00B37DB9" w:rsidRPr="00B37DB9">
        <w:rPr>
          <w:rFonts w:ascii="Times New Roman" w:hAnsi="Times New Roman" w:cs="Times New Roman"/>
          <w:lang w:val="en-GB"/>
        </w:rPr>
        <w:t>The Equifax data breach</w:t>
      </w:r>
      <w:r w:rsidR="00E60F67">
        <w:rPr>
          <w:rFonts w:ascii="Times New Roman" w:hAnsi="Times New Roman" w:cs="Times New Roman"/>
          <w:lang w:val="en-GB"/>
        </w:rPr>
        <w:t xml:space="preserve"> that occurred between May and July 2017</w:t>
      </w:r>
      <w:r w:rsidR="00B37DB9" w:rsidRPr="00B37DB9">
        <w:rPr>
          <w:rFonts w:ascii="Times New Roman" w:hAnsi="Times New Roman" w:cs="Times New Roman"/>
          <w:lang w:val="en-GB"/>
        </w:rPr>
        <w:t xml:space="preserve">, </w:t>
      </w:r>
      <w:r w:rsidR="00E60F67">
        <w:rPr>
          <w:rFonts w:ascii="Times New Roman" w:hAnsi="Times New Roman" w:cs="Times New Roman"/>
          <w:lang w:val="en-GB"/>
        </w:rPr>
        <w:t>resulting in</w:t>
      </w:r>
      <w:r w:rsidR="00B37DB9" w:rsidRPr="00B37DB9">
        <w:rPr>
          <w:rFonts w:ascii="Times New Roman" w:hAnsi="Times New Roman" w:cs="Times New Roman"/>
          <w:lang w:val="en-GB"/>
        </w:rPr>
        <w:t xml:space="preserve"> the </w:t>
      </w:r>
      <w:r w:rsidR="00E60F67">
        <w:rPr>
          <w:rFonts w:ascii="Times New Roman" w:hAnsi="Times New Roman" w:cs="Times New Roman"/>
          <w:lang w:val="en-GB"/>
        </w:rPr>
        <w:t xml:space="preserve">compromise of </w:t>
      </w:r>
      <w:r w:rsidR="00B37DB9" w:rsidRPr="00B37DB9">
        <w:rPr>
          <w:rFonts w:ascii="Times New Roman" w:hAnsi="Times New Roman" w:cs="Times New Roman"/>
          <w:lang w:val="en-GB"/>
        </w:rPr>
        <w:t xml:space="preserve">personal information of over 147 million people, is a notable example. </w:t>
      </w:r>
      <w:r w:rsidR="00E60F67">
        <w:rPr>
          <w:rFonts w:ascii="Times New Roman" w:hAnsi="Times New Roman" w:cs="Times New Roman"/>
          <w:lang w:val="en-GB"/>
        </w:rPr>
        <w:t xml:space="preserve">To address the issue Equifax released a statement announcing the departure and replacements of its chief information officer and chief security officer elevated to report directly to the board. </w:t>
      </w:r>
      <w:r w:rsidR="00B37DB9" w:rsidRPr="00B37DB9">
        <w:rPr>
          <w:rFonts w:ascii="Times New Roman" w:hAnsi="Times New Roman" w:cs="Times New Roman"/>
          <w:lang w:val="en-GB"/>
        </w:rPr>
        <w:t xml:space="preserve"> This modification demonstrated how insufficient executive-level visibility had previously hampered efficient governance (</w:t>
      </w:r>
      <w:r w:rsidR="00EC3B51">
        <w:rPr>
          <w:rFonts w:ascii="Times New Roman" w:hAnsi="Times New Roman" w:cs="Times New Roman"/>
          <w:lang w:val="en-GB"/>
        </w:rPr>
        <w:t>Wikipedia</w:t>
      </w:r>
      <w:r w:rsidR="00B37DB9" w:rsidRPr="00B37DB9">
        <w:rPr>
          <w:rFonts w:ascii="Times New Roman" w:hAnsi="Times New Roman" w:cs="Times New Roman"/>
          <w:lang w:val="en-GB"/>
        </w:rPr>
        <w:t xml:space="preserve">). </w:t>
      </w:r>
    </w:p>
    <w:p w14:paraId="7147ECF4" w14:textId="21F21981" w:rsidR="00CF099F" w:rsidRPr="00A6178B" w:rsidRDefault="00CF099F" w:rsidP="00CF099F">
      <w:pPr>
        <w:pStyle w:val="Heading3"/>
        <w:rPr>
          <w:rFonts w:ascii="Times New Roman" w:hAnsi="Times New Roman" w:cs="Times New Roman"/>
        </w:rPr>
      </w:pPr>
      <w:r w:rsidRPr="00A6178B">
        <w:rPr>
          <w:rStyle w:val="Strong"/>
          <w:rFonts w:ascii="Times New Roman" w:hAnsi="Times New Roman" w:cs="Times New Roman"/>
          <w:color w:val="auto"/>
        </w:rPr>
        <w:t>Case Study: Colonial Pipeline Ransomware Attack (2021)</w:t>
      </w:r>
    </w:p>
    <w:p w14:paraId="41DC6115" w14:textId="3FB4CF24" w:rsidR="00AE7811" w:rsidRDefault="00CF099F" w:rsidP="00CF099F">
      <w:pPr>
        <w:pStyle w:val="NormalWeb"/>
        <w:rPr>
          <w:lang w:val="en-GB"/>
        </w:rPr>
      </w:pPr>
      <w:r w:rsidRPr="00CE6170">
        <w:rPr>
          <w:rStyle w:val="Strong"/>
        </w:rPr>
        <w:t>Overview of the Breach:</w:t>
      </w:r>
      <w:r w:rsidRPr="00CE6170">
        <w:br/>
      </w:r>
      <w:r w:rsidR="00AE7811">
        <w:rPr>
          <w:lang w:val="en-GB"/>
        </w:rPr>
        <w:t>On the 7</w:t>
      </w:r>
      <w:r w:rsidR="00AE7811" w:rsidRPr="00AE7811">
        <w:rPr>
          <w:vertAlign w:val="superscript"/>
          <w:lang w:val="en-GB"/>
        </w:rPr>
        <w:t>th</w:t>
      </w:r>
      <w:r w:rsidR="00AE7811">
        <w:rPr>
          <w:lang w:val="en-GB"/>
        </w:rPr>
        <w:t xml:space="preserve"> of May, 2021, Colonial Pipeline, an American oil pipeline system that originated from Houston </w:t>
      </w:r>
      <w:proofErr w:type="spellStart"/>
      <w:r w:rsidR="00D75899">
        <w:rPr>
          <w:lang w:val="en-GB"/>
        </w:rPr>
        <w:t>T</w:t>
      </w:r>
      <w:r w:rsidR="00AE7811">
        <w:rPr>
          <w:lang w:val="en-GB"/>
        </w:rPr>
        <w:t>texas</w:t>
      </w:r>
      <w:proofErr w:type="spellEnd"/>
      <w:r w:rsidR="00AE7811">
        <w:rPr>
          <w:lang w:val="en-GB"/>
        </w:rPr>
        <w:t xml:space="preserve"> suffered a ransomware cyberattack that affected computer equipment managing the </w:t>
      </w:r>
      <w:r w:rsidR="00A44A6B">
        <w:rPr>
          <w:lang w:val="en-GB"/>
        </w:rPr>
        <w:t>pipeline. The Colonial Pipeline had to temporarily stop operations to contain the attack. The attackers gained access to the system using a compromised password for an inactive virtual private network</w:t>
      </w:r>
      <w:r w:rsidR="00D75899">
        <w:rPr>
          <w:lang w:val="en-GB"/>
        </w:rPr>
        <w:t xml:space="preserve"> </w:t>
      </w:r>
      <w:r w:rsidR="00A44A6B">
        <w:rPr>
          <w:lang w:val="en-GB"/>
        </w:rPr>
        <w:t>(VPN) account, which did not have multi-factor authentication enabled (Wikipedia).</w:t>
      </w:r>
    </w:p>
    <w:p w14:paraId="7351AE19" w14:textId="7C17B297" w:rsidR="00CF099F" w:rsidRPr="00B37DB9" w:rsidRDefault="00CF099F" w:rsidP="00CF099F">
      <w:pPr>
        <w:pStyle w:val="NormalWeb"/>
        <w:rPr>
          <w:lang w:val="en-GB"/>
        </w:rPr>
      </w:pPr>
      <w:r w:rsidRPr="00CE6170">
        <w:rPr>
          <w:rStyle w:val="Strong"/>
        </w:rPr>
        <w:t>Security Governance Structure Prior to the Breach:</w:t>
      </w:r>
      <w:r w:rsidRPr="00CE6170">
        <w:br/>
      </w:r>
      <w:r w:rsidR="00B37DB9" w:rsidRPr="00B37DB9">
        <w:rPr>
          <w:lang w:val="en-GB"/>
        </w:rPr>
        <w:t>Publicly available reports suggest that Colonial Pipeline may have lacked robust cybersecurity governance practices in two critical areas: incident response planning and access management</w:t>
      </w:r>
      <w:r w:rsidR="005D2EA2">
        <w:rPr>
          <w:lang w:val="en-GB"/>
        </w:rPr>
        <w:t xml:space="preserve">. </w:t>
      </w:r>
      <w:r w:rsidR="00B37DB9" w:rsidRPr="00B37DB9">
        <w:rPr>
          <w:lang w:val="en-GB"/>
        </w:rPr>
        <w:t>There were governance flaws in the way executive leadership prioritized cybersecurity over operational resilience, even with security teams in place.</w:t>
      </w:r>
    </w:p>
    <w:p w14:paraId="1F90DB10" w14:textId="77777777" w:rsidR="00CF099F" w:rsidRPr="00CE6170" w:rsidRDefault="00CF099F" w:rsidP="00CF099F">
      <w:pPr>
        <w:pStyle w:val="NormalWeb"/>
      </w:pPr>
      <w:r w:rsidRPr="00CE6170">
        <w:rPr>
          <w:rStyle w:val="Strong"/>
        </w:rPr>
        <w:t>Failures in Security Governance:</w:t>
      </w:r>
    </w:p>
    <w:p w14:paraId="1330B089" w14:textId="77777777" w:rsidR="00CF099F" w:rsidRPr="00CE6170" w:rsidRDefault="00CF099F" w:rsidP="00CF099F">
      <w:pPr>
        <w:pStyle w:val="NormalWeb"/>
        <w:numPr>
          <w:ilvl w:val="0"/>
          <w:numId w:val="3"/>
        </w:numPr>
      </w:pPr>
      <w:r w:rsidRPr="00CE6170">
        <w:rPr>
          <w:rStyle w:val="Strong"/>
        </w:rPr>
        <w:t>Weak Identity Management:</w:t>
      </w:r>
      <w:r w:rsidRPr="00CE6170">
        <w:t xml:space="preserve"> Absence of multi-factor authentication on critical accounts.</w:t>
      </w:r>
    </w:p>
    <w:p w14:paraId="4DF12254" w14:textId="77777777" w:rsidR="00CF099F" w:rsidRPr="00CE6170" w:rsidRDefault="00CF099F" w:rsidP="00CF099F">
      <w:pPr>
        <w:pStyle w:val="NormalWeb"/>
        <w:numPr>
          <w:ilvl w:val="0"/>
          <w:numId w:val="3"/>
        </w:numPr>
      </w:pPr>
      <w:r w:rsidRPr="00CE6170">
        <w:rPr>
          <w:rStyle w:val="Strong"/>
        </w:rPr>
        <w:t>Board Oversight Gaps:</w:t>
      </w:r>
      <w:r w:rsidRPr="00CE6170">
        <w:t xml:space="preserve"> Cyber risks were not adequately escalated to the board level.</w:t>
      </w:r>
    </w:p>
    <w:p w14:paraId="36BED0F3" w14:textId="77777777" w:rsidR="00CF099F" w:rsidRPr="00CE6170" w:rsidRDefault="00CF099F" w:rsidP="00CF099F">
      <w:pPr>
        <w:pStyle w:val="NormalWeb"/>
        <w:numPr>
          <w:ilvl w:val="0"/>
          <w:numId w:val="3"/>
        </w:numPr>
      </w:pPr>
      <w:r w:rsidRPr="00CE6170">
        <w:rPr>
          <w:rStyle w:val="Strong"/>
        </w:rPr>
        <w:t>Incident Preparedness:</w:t>
      </w:r>
      <w:r w:rsidRPr="00CE6170">
        <w:t xml:space="preserve"> Although the company had some security policies, there was no evidence of a mature, enterprise-wide governance framework to guide incident response (NIST, 2018).</w:t>
      </w:r>
    </w:p>
    <w:p w14:paraId="2931B2F7" w14:textId="00611262" w:rsidR="00877F69" w:rsidRPr="00D75899" w:rsidRDefault="00CF099F" w:rsidP="00CF099F">
      <w:pPr>
        <w:pStyle w:val="NormalWeb"/>
        <w:rPr>
          <w:rStyle w:val="Strong"/>
          <w:b w:val="0"/>
          <w:bCs w:val="0"/>
          <w:lang w:val="en-GB"/>
        </w:rPr>
      </w:pPr>
      <w:r w:rsidRPr="00CE6170">
        <w:rPr>
          <w:rStyle w:val="Strong"/>
        </w:rPr>
        <w:t>Regulatory and Financial Consequences:</w:t>
      </w:r>
      <w:r w:rsidRPr="00CE6170">
        <w:br/>
      </w:r>
      <w:r w:rsidR="001A4000">
        <w:rPr>
          <w:lang w:val="en-GB"/>
        </w:rPr>
        <w:t>The Colonial Pipeline had to pay a sum of $4.4 million</w:t>
      </w:r>
      <w:r w:rsidR="00A44A6B">
        <w:rPr>
          <w:lang w:val="en-GB"/>
        </w:rPr>
        <w:t xml:space="preserve"> </w:t>
      </w:r>
      <w:r w:rsidR="001A4000">
        <w:rPr>
          <w:lang w:val="en-GB"/>
        </w:rPr>
        <w:t xml:space="preserve">as ransom </w:t>
      </w:r>
      <w:r w:rsidR="00A44A6B">
        <w:rPr>
          <w:lang w:val="en-GB"/>
        </w:rPr>
        <w:t>overseen by the FBI</w:t>
      </w:r>
      <w:r w:rsidR="001A4000">
        <w:rPr>
          <w:lang w:val="en-GB"/>
        </w:rPr>
        <w:t xml:space="preserve"> </w:t>
      </w:r>
      <w:r w:rsidR="00B37DB9" w:rsidRPr="00B37DB9">
        <w:rPr>
          <w:lang w:val="en-GB"/>
        </w:rPr>
        <w:t>(</w:t>
      </w:r>
      <w:r w:rsidR="008001F9">
        <w:rPr>
          <w:lang w:val="en-GB"/>
        </w:rPr>
        <w:t>Wikipedia)</w:t>
      </w:r>
      <w:r w:rsidR="00877F69">
        <w:rPr>
          <w:lang w:val="en-GB"/>
        </w:rPr>
        <w:t>.</w:t>
      </w:r>
      <w:r w:rsidR="00B37DB9" w:rsidRPr="00B37DB9">
        <w:rPr>
          <w:lang w:val="en-GB"/>
        </w:rPr>
        <w:t xml:space="preserve"> Apart from the immediate costs, the hack resulted in increased regulatory scrutiny, and US federal agencies required pipeline operators to adhere to more stringent cybersecurity guidelines. </w:t>
      </w:r>
      <w:r w:rsidR="00B37DB9">
        <w:rPr>
          <w:lang w:val="en-GB"/>
        </w:rPr>
        <w:t xml:space="preserve">According to Shackelford </w:t>
      </w:r>
      <w:r w:rsidR="00B37DB9" w:rsidRPr="00B37DB9">
        <w:rPr>
          <w:lang w:val="en-GB"/>
        </w:rPr>
        <w:t xml:space="preserve">reputational damage </w:t>
      </w:r>
      <w:r w:rsidR="00B37DB9">
        <w:rPr>
          <w:lang w:val="en-GB"/>
        </w:rPr>
        <w:t>doesn’t only damage</w:t>
      </w:r>
      <w:r w:rsidR="00B37DB9" w:rsidRPr="00B37DB9">
        <w:rPr>
          <w:lang w:val="en-GB"/>
        </w:rPr>
        <w:t xml:space="preserve"> public trust but also expose</w:t>
      </w:r>
      <w:r w:rsidR="00B37DB9">
        <w:rPr>
          <w:lang w:val="en-GB"/>
        </w:rPr>
        <w:t>s</w:t>
      </w:r>
      <w:r w:rsidR="00B37DB9" w:rsidRPr="00B37DB9">
        <w:rPr>
          <w:lang w:val="en-GB"/>
        </w:rPr>
        <w:t xml:space="preserve"> governance shortcomings in the protection of critical infrastructure (Shackelford, 2020)</w:t>
      </w:r>
      <w:r w:rsidR="00D75899">
        <w:rPr>
          <w:lang w:val="en-GB"/>
        </w:rPr>
        <w:t>.</w:t>
      </w:r>
    </w:p>
    <w:p w14:paraId="562003B3" w14:textId="36F67D4D" w:rsidR="00CF099F" w:rsidRPr="00CE6170" w:rsidRDefault="00CF099F" w:rsidP="00CF099F">
      <w:pPr>
        <w:pStyle w:val="NormalWeb"/>
      </w:pPr>
      <w:r w:rsidRPr="00CE6170">
        <w:rPr>
          <w:rStyle w:val="Strong"/>
        </w:rPr>
        <w:lastRenderedPageBreak/>
        <w:t>Recommendations for Improved Governance:</w:t>
      </w:r>
    </w:p>
    <w:p w14:paraId="253AD939" w14:textId="77777777" w:rsidR="00CF099F" w:rsidRPr="00877F69" w:rsidRDefault="00CF099F" w:rsidP="00CF099F">
      <w:pPr>
        <w:pStyle w:val="NormalWeb"/>
        <w:numPr>
          <w:ilvl w:val="0"/>
          <w:numId w:val="4"/>
        </w:numPr>
      </w:pPr>
      <w:r w:rsidRPr="00877F69">
        <w:t xml:space="preserve">Implement </w:t>
      </w:r>
      <w:r w:rsidRPr="00877F69">
        <w:rPr>
          <w:rStyle w:val="Strong"/>
        </w:rPr>
        <w:t xml:space="preserve">strong </w:t>
      </w:r>
      <w:r w:rsidRPr="00877F69">
        <w:rPr>
          <w:rStyle w:val="Strong"/>
          <w:b w:val="0"/>
          <w:bCs w:val="0"/>
        </w:rPr>
        <w:t>access controls</w:t>
      </w:r>
      <w:r w:rsidRPr="00877F69">
        <w:t xml:space="preserve"> with mandatory multi-factor authentication.</w:t>
      </w:r>
    </w:p>
    <w:p w14:paraId="5DAC2876" w14:textId="77777777" w:rsidR="00CF099F" w:rsidRPr="00877F69" w:rsidRDefault="00CF099F" w:rsidP="00CF099F">
      <w:pPr>
        <w:pStyle w:val="NormalWeb"/>
        <w:numPr>
          <w:ilvl w:val="0"/>
          <w:numId w:val="4"/>
        </w:numPr>
      </w:pPr>
      <w:r w:rsidRPr="00877F69">
        <w:t xml:space="preserve">Develop a </w:t>
      </w:r>
      <w:r w:rsidRPr="00877F69">
        <w:rPr>
          <w:rStyle w:val="Strong"/>
          <w:b w:val="0"/>
          <w:bCs w:val="0"/>
        </w:rPr>
        <w:t>comprehensive incident response framework</w:t>
      </w:r>
      <w:r w:rsidRPr="00877F69">
        <w:t xml:space="preserve"> aligned with </w:t>
      </w:r>
      <w:r w:rsidRPr="00877F69">
        <w:rPr>
          <w:rStyle w:val="Strong"/>
          <w:b w:val="0"/>
          <w:bCs w:val="0"/>
        </w:rPr>
        <w:t>NIST Cybersecurity Framework (CSF)</w:t>
      </w:r>
      <w:r w:rsidRPr="00877F69">
        <w:t xml:space="preserve"> (NIST, 2018).</w:t>
      </w:r>
    </w:p>
    <w:p w14:paraId="30991F05" w14:textId="77777777" w:rsidR="00CF099F" w:rsidRPr="00877F69" w:rsidRDefault="00CF099F" w:rsidP="00CF099F">
      <w:pPr>
        <w:pStyle w:val="NormalWeb"/>
        <w:numPr>
          <w:ilvl w:val="0"/>
          <w:numId w:val="4"/>
        </w:numPr>
      </w:pPr>
      <w:r w:rsidRPr="00877F69">
        <w:t xml:space="preserve">Elevate the CISO’s role to ensure </w:t>
      </w:r>
      <w:r w:rsidRPr="00877F69">
        <w:rPr>
          <w:rStyle w:val="Strong"/>
          <w:b w:val="0"/>
          <w:bCs w:val="0"/>
        </w:rPr>
        <w:t>direct communication with the board</w:t>
      </w:r>
      <w:r w:rsidRPr="00877F69">
        <w:t>, enabling proactive risk management.</w:t>
      </w:r>
    </w:p>
    <w:p w14:paraId="7D47C8B9" w14:textId="77777777" w:rsidR="00CF099F" w:rsidRPr="00877F69" w:rsidRDefault="00CF099F" w:rsidP="00CF099F">
      <w:pPr>
        <w:pStyle w:val="NormalWeb"/>
        <w:numPr>
          <w:ilvl w:val="0"/>
          <w:numId w:val="4"/>
        </w:numPr>
      </w:pPr>
      <w:r w:rsidRPr="00877F69">
        <w:t xml:space="preserve">Conduct regular </w:t>
      </w:r>
      <w:r w:rsidRPr="00877F69">
        <w:rPr>
          <w:rStyle w:val="Strong"/>
          <w:b w:val="0"/>
          <w:bCs w:val="0"/>
        </w:rPr>
        <w:t>governance-focused cybersecurity audits</w:t>
      </w:r>
      <w:r w:rsidRPr="00877F69">
        <w:t xml:space="preserve"> to validate readiness against ransomware and other critical threats.</w:t>
      </w:r>
    </w:p>
    <w:p w14:paraId="24141BFE" w14:textId="2EBD4F4A" w:rsidR="00CF099F" w:rsidRPr="00D41EAA" w:rsidRDefault="00CF099F" w:rsidP="00CF099F">
      <w:pPr>
        <w:pStyle w:val="Heading1"/>
        <w:rPr>
          <w:rFonts w:ascii="Times New Roman" w:hAnsi="Times New Roman" w:cs="Times New Roman"/>
          <w:b/>
          <w:bCs/>
          <w:sz w:val="24"/>
          <w:szCs w:val="24"/>
        </w:rPr>
      </w:pPr>
      <w:r w:rsidRPr="00CE6170">
        <w:rPr>
          <w:rFonts w:ascii="Times New Roman" w:hAnsi="Times New Roman" w:cs="Times New Roman"/>
          <w:sz w:val="24"/>
          <w:szCs w:val="24"/>
        </w:rPr>
        <w:t xml:space="preserve"> </w:t>
      </w:r>
      <w:r w:rsidRPr="00D41EAA">
        <w:rPr>
          <w:rFonts w:ascii="Times New Roman" w:hAnsi="Times New Roman" w:cs="Times New Roman"/>
          <w:b/>
          <w:bCs/>
          <w:color w:val="auto"/>
          <w:sz w:val="24"/>
          <w:szCs w:val="24"/>
        </w:rPr>
        <w:t>NDPC Case Study</w:t>
      </w:r>
    </w:p>
    <w:p w14:paraId="7F9AF8D9" w14:textId="4214EFF6" w:rsidR="00DD28D8" w:rsidRPr="00CE6170" w:rsidRDefault="00DD28D8" w:rsidP="00CF099F">
      <w:pPr>
        <w:pStyle w:val="NormalWeb"/>
      </w:pPr>
      <w:r w:rsidRPr="00CE6170">
        <w:t>Data Analysis:</w:t>
      </w:r>
    </w:p>
    <w:p w14:paraId="4800B0BE" w14:textId="77777777" w:rsidR="00B53511" w:rsidRPr="00CE6170" w:rsidRDefault="00DD28D8" w:rsidP="00DD28D8">
      <w:pPr>
        <w:pStyle w:val="NormalWeb"/>
        <w:numPr>
          <w:ilvl w:val="0"/>
          <w:numId w:val="5"/>
        </w:numPr>
      </w:pPr>
      <w:r w:rsidRPr="00CE6170">
        <w:t>The total number of Incident is 100</w:t>
      </w:r>
      <w:r w:rsidR="00B53511" w:rsidRPr="00CE6170">
        <w:t>:</w:t>
      </w:r>
    </w:p>
    <w:p w14:paraId="3E5B6B02" w14:textId="77777777" w:rsidR="00B53511" w:rsidRPr="00CE6170" w:rsidRDefault="00DD28D8" w:rsidP="00B53511">
      <w:pPr>
        <w:pStyle w:val="NormalWeb"/>
        <w:numPr>
          <w:ilvl w:val="1"/>
          <w:numId w:val="5"/>
        </w:numPr>
      </w:pPr>
      <w:r w:rsidRPr="00CE6170">
        <w:t xml:space="preserve"> 20 Unauthorized Access Incidents, </w:t>
      </w:r>
    </w:p>
    <w:p w14:paraId="2BDD5724" w14:textId="77777777" w:rsidR="00B53511" w:rsidRPr="00CE6170" w:rsidRDefault="00DD28D8" w:rsidP="00B53511">
      <w:pPr>
        <w:pStyle w:val="NormalWeb"/>
        <w:numPr>
          <w:ilvl w:val="1"/>
          <w:numId w:val="5"/>
        </w:numPr>
      </w:pPr>
      <w:r w:rsidRPr="00CE6170">
        <w:t xml:space="preserve">20 Data Leak Incidents, </w:t>
      </w:r>
    </w:p>
    <w:p w14:paraId="6811A92A" w14:textId="77777777" w:rsidR="00B53511" w:rsidRPr="00CE6170" w:rsidRDefault="00DD28D8" w:rsidP="00B53511">
      <w:pPr>
        <w:pStyle w:val="NormalWeb"/>
        <w:numPr>
          <w:ilvl w:val="1"/>
          <w:numId w:val="5"/>
        </w:numPr>
      </w:pPr>
      <w:r w:rsidRPr="00CE6170">
        <w:t xml:space="preserve">19 Malware Incidents, </w:t>
      </w:r>
    </w:p>
    <w:p w14:paraId="207323C1" w14:textId="77777777" w:rsidR="00B53511" w:rsidRPr="00CE6170" w:rsidRDefault="00DD28D8" w:rsidP="00B53511">
      <w:pPr>
        <w:pStyle w:val="NormalWeb"/>
        <w:numPr>
          <w:ilvl w:val="1"/>
          <w:numId w:val="5"/>
        </w:numPr>
      </w:pPr>
      <w:r w:rsidRPr="00CE6170">
        <w:t xml:space="preserve">16 Phishing Incidents, </w:t>
      </w:r>
    </w:p>
    <w:p w14:paraId="4221CD9C" w14:textId="77777777" w:rsidR="00B53511" w:rsidRPr="00CE6170" w:rsidRDefault="00DD28D8" w:rsidP="00B53511">
      <w:pPr>
        <w:pStyle w:val="NormalWeb"/>
        <w:numPr>
          <w:ilvl w:val="1"/>
          <w:numId w:val="5"/>
        </w:numPr>
      </w:pPr>
      <w:r w:rsidRPr="00CE6170">
        <w:t xml:space="preserve">15 DDoS Incidents and </w:t>
      </w:r>
    </w:p>
    <w:p w14:paraId="06C072F4" w14:textId="7C2F6AD1" w:rsidR="00DD28D8" w:rsidRPr="00CE6170" w:rsidRDefault="00DD28D8" w:rsidP="00B53511">
      <w:pPr>
        <w:pStyle w:val="NormalWeb"/>
        <w:numPr>
          <w:ilvl w:val="1"/>
          <w:numId w:val="5"/>
        </w:numPr>
      </w:pPr>
      <w:r w:rsidRPr="00CE6170">
        <w:t>10 Misconfiguration Incidents.</w:t>
      </w:r>
    </w:p>
    <w:p w14:paraId="65D5219A" w14:textId="12C708B7" w:rsidR="00DD28D8" w:rsidRPr="00CE6170" w:rsidRDefault="00DD28D8" w:rsidP="00DD28D8">
      <w:pPr>
        <w:pStyle w:val="NormalWeb"/>
        <w:numPr>
          <w:ilvl w:val="0"/>
          <w:numId w:val="5"/>
        </w:numPr>
      </w:pPr>
      <w:r w:rsidRPr="00CE6170">
        <w:t xml:space="preserve">Average </w:t>
      </w:r>
      <w:proofErr w:type="spellStart"/>
      <w:r w:rsidRPr="00CE6170">
        <w:t>Resolution_Time_Days</w:t>
      </w:r>
      <w:proofErr w:type="spellEnd"/>
      <w:r w:rsidRPr="00CE6170">
        <w:t xml:space="preserve"> broken down by severity: </w:t>
      </w:r>
    </w:p>
    <w:p w14:paraId="2BB17B4C" w14:textId="370016C8" w:rsidR="00B53511" w:rsidRPr="00CE6170" w:rsidRDefault="0060555E" w:rsidP="00B53511">
      <w:pPr>
        <w:pStyle w:val="NormalWeb"/>
        <w:numPr>
          <w:ilvl w:val="1"/>
          <w:numId w:val="5"/>
        </w:numPr>
      </w:pPr>
      <w:r w:rsidRPr="00CE6170">
        <w:t>13.9</w:t>
      </w:r>
      <w:r w:rsidR="00B53511" w:rsidRPr="00CE6170">
        <w:t xml:space="preserve"> Critical Severity</w:t>
      </w:r>
    </w:p>
    <w:p w14:paraId="6834282C" w14:textId="6A13EB5A" w:rsidR="00B53511" w:rsidRPr="00CE6170" w:rsidRDefault="000476CE" w:rsidP="00B53511">
      <w:pPr>
        <w:pStyle w:val="NormalWeb"/>
        <w:numPr>
          <w:ilvl w:val="1"/>
          <w:numId w:val="5"/>
        </w:numPr>
      </w:pPr>
      <w:r w:rsidRPr="00CE6170">
        <w:t>15.8</w:t>
      </w:r>
      <w:r w:rsidR="00B53511" w:rsidRPr="00CE6170">
        <w:t xml:space="preserve"> </w:t>
      </w:r>
      <w:r w:rsidR="007623D8" w:rsidRPr="00CE6170">
        <w:t>High Severity</w:t>
      </w:r>
    </w:p>
    <w:p w14:paraId="05222578" w14:textId="0626DD5B" w:rsidR="007623D8" w:rsidRPr="00CE6170" w:rsidRDefault="000476CE" w:rsidP="00B53511">
      <w:pPr>
        <w:pStyle w:val="NormalWeb"/>
        <w:numPr>
          <w:ilvl w:val="1"/>
          <w:numId w:val="5"/>
        </w:numPr>
      </w:pPr>
      <w:r w:rsidRPr="00CE6170">
        <w:t>16.0</w:t>
      </w:r>
      <w:r w:rsidR="007623D8" w:rsidRPr="00CE6170">
        <w:t xml:space="preserve"> Medium</w:t>
      </w:r>
    </w:p>
    <w:p w14:paraId="1A2C9836" w14:textId="489188E4" w:rsidR="007623D8" w:rsidRPr="00CE6170" w:rsidRDefault="000476CE" w:rsidP="00B53511">
      <w:pPr>
        <w:pStyle w:val="NormalWeb"/>
        <w:numPr>
          <w:ilvl w:val="1"/>
          <w:numId w:val="5"/>
        </w:numPr>
      </w:pPr>
      <w:r w:rsidRPr="00CE6170">
        <w:t>13.3</w:t>
      </w:r>
      <w:r w:rsidR="007623D8" w:rsidRPr="00CE6170">
        <w:t xml:space="preserve"> Low</w:t>
      </w:r>
    </w:p>
    <w:p w14:paraId="593F70A3" w14:textId="3C6DB553" w:rsidR="000476CE" w:rsidRPr="00CE6170" w:rsidRDefault="00EE1C0F" w:rsidP="000476CE">
      <w:pPr>
        <w:pStyle w:val="NormalWeb"/>
        <w:numPr>
          <w:ilvl w:val="0"/>
          <w:numId w:val="5"/>
        </w:numPr>
      </w:pPr>
      <w:r w:rsidRPr="00CE6170">
        <w:t>Total Cost Impact by Department and Responsible Team</w:t>
      </w:r>
    </w:p>
    <w:p w14:paraId="2F2D8D42" w14:textId="19127501" w:rsidR="00EE1C0F" w:rsidRPr="00CE6170" w:rsidRDefault="00EE1C0F" w:rsidP="00EE1C0F">
      <w:pPr>
        <w:pStyle w:val="NormalWeb"/>
        <w:numPr>
          <w:ilvl w:val="1"/>
          <w:numId w:val="5"/>
        </w:numPr>
      </w:pPr>
      <w:r w:rsidRPr="00CE6170">
        <w:t xml:space="preserve">Finance Department has the highest cost of $1.37M, followed by </w:t>
      </w:r>
      <w:r w:rsidR="009B3F7C" w:rsidRPr="00CE6170">
        <w:t>Legal Department with cost of $1.2M, and IT with cost of $1.1M. HR and Operations has the least cost Impact of $879K and $767K.</w:t>
      </w:r>
    </w:p>
    <w:p w14:paraId="7542755D" w14:textId="22238710" w:rsidR="009B3F7C" w:rsidRPr="00CE6170" w:rsidRDefault="009B3F7C" w:rsidP="00EE1C0F">
      <w:pPr>
        <w:pStyle w:val="NormalWeb"/>
        <w:numPr>
          <w:ilvl w:val="1"/>
          <w:numId w:val="5"/>
        </w:numPr>
      </w:pPr>
      <w:r w:rsidRPr="00CE6170">
        <w:t>Compliance team has the highest cost impact.</w:t>
      </w:r>
    </w:p>
    <w:p w14:paraId="7174DE8C" w14:textId="3AE74E6B" w:rsidR="009B3F7C" w:rsidRPr="00CE6170" w:rsidRDefault="009B3F7C" w:rsidP="009B3F7C">
      <w:pPr>
        <w:pStyle w:val="NormalWeb"/>
        <w:numPr>
          <w:ilvl w:val="0"/>
          <w:numId w:val="5"/>
        </w:numPr>
      </w:pPr>
      <w:r w:rsidRPr="00CE6170">
        <w:t>The top 3 Incident type with the highest cost impact are; Malware, Misconfiguration and Unauthorized Access.</w:t>
      </w:r>
    </w:p>
    <w:p w14:paraId="21FF24BD" w14:textId="7AF11D40" w:rsidR="00013E2F" w:rsidRPr="00CE6170" w:rsidRDefault="00013E2F" w:rsidP="009B3F7C">
      <w:pPr>
        <w:pStyle w:val="NormalWeb"/>
        <w:numPr>
          <w:ilvl w:val="0"/>
          <w:numId w:val="5"/>
        </w:numPr>
      </w:pPr>
      <w:r w:rsidRPr="00CE6170">
        <w:t>Percentage of Incident with Status:</w:t>
      </w:r>
    </w:p>
    <w:p w14:paraId="78731F86" w14:textId="39F3A703" w:rsidR="00013E2F" w:rsidRPr="00CE6170" w:rsidRDefault="00013E2F" w:rsidP="00013E2F">
      <w:pPr>
        <w:pStyle w:val="NormalWeb"/>
        <w:numPr>
          <w:ilvl w:val="1"/>
          <w:numId w:val="5"/>
        </w:numPr>
      </w:pPr>
      <w:r w:rsidRPr="00CE6170">
        <w:t>60% Closed</w:t>
      </w:r>
    </w:p>
    <w:p w14:paraId="61BB7017" w14:textId="7BF58DE5" w:rsidR="00013E2F" w:rsidRPr="00CE6170" w:rsidRDefault="00013E2F" w:rsidP="00013E2F">
      <w:pPr>
        <w:pStyle w:val="NormalWeb"/>
        <w:numPr>
          <w:ilvl w:val="1"/>
          <w:numId w:val="5"/>
        </w:numPr>
      </w:pPr>
      <w:r w:rsidRPr="00CE6170">
        <w:t>14% In Progress</w:t>
      </w:r>
    </w:p>
    <w:p w14:paraId="52DDA380" w14:textId="10246982" w:rsidR="00013E2F" w:rsidRPr="00CE6170" w:rsidRDefault="00013E2F" w:rsidP="00013E2F">
      <w:pPr>
        <w:pStyle w:val="NormalWeb"/>
        <w:numPr>
          <w:ilvl w:val="1"/>
          <w:numId w:val="5"/>
        </w:numPr>
      </w:pPr>
      <w:r w:rsidRPr="00CE6170">
        <w:t>9% On Hold</w:t>
      </w:r>
    </w:p>
    <w:p w14:paraId="242396E8" w14:textId="1633CF68" w:rsidR="00013E2F" w:rsidRPr="00CE6170" w:rsidRDefault="00013E2F" w:rsidP="00013E2F">
      <w:pPr>
        <w:pStyle w:val="NormalWeb"/>
        <w:numPr>
          <w:ilvl w:val="1"/>
          <w:numId w:val="5"/>
        </w:numPr>
      </w:pPr>
      <w:r w:rsidRPr="00CE6170">
        <w:t>17% Open</w:t>
      </w:r>
    </w:p>
    <w:p w14:paraId="471B3CFE" w14:textId="762C2331" w:rsidR="00013E2F" w:rsidRPr="00CE6170" w:rsidRDefault="00305480" w:rsidP="00013E2F">
      <w:pPr>
        <w:pStyle w:val="NormalWeb"/>
      </w:pPr>
      <w:r w:rsidRPr="00CE6170">
        <w:rPr>
          <w:noProof/>
        </w:rPr>
        <w:lastRenderedPageBreak/>
        <w:drawing>
          <wp:inline distT="0" distB="0" distL="0" distR="0" wp14:anchorId="164F0018" wp14:editId="5B5E9605">
            <wp:extent cx="3566160" cy="2255520"/>
            <wp:effectExtent l="0" t="0" r="15240" b="11430"/>
            <wp:docPr id="1" name="Chart 1">
              <a:extLst xmlns:a="http://schemas.openxmlformats.org/drawingml/2006/main">
                <a:ext uri="{FF2B5EF4-FFF2-40B4-BE49-F238E27FC236}">
                  <a16:creationId xmlns:a16="http://schemas.microsoft.com/office/drawing/2014/main" id="{C378A803-EBC6-9721-13ED-ACD2C0F736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3CDF1ECF" w14:textId="6A10FC58" w:rsidR="00305480" w:rsidRPr="00CE6170" w:rsidRDefault="00305480" w:rsidP="00013E2F">
      <w:pPr>
        <w:pStyle w:val="NormalWeb"/>
      </w:pPr>
      <w:r w:rsidRPr="00CE6170">
        <w:rPr>
          <w:noProof/>
        </w:rPr>
        <w:drawing>
          <wp:inline distT="0" distB="0" distL="0" distR="0" wp14:anchorId="28AD99DB" wp14:editId="26F430E4">
            <wp:extent cx="3421380" cy="2522220"/>
            <wp:effectExtent l="0" t="0" r="7620" b="11430"/>
            <wp:docPr id="5" name="Chart 5">
              <a:extLst xmlns:a="http://schemas.openxmlformats.org/drawingml/2006/main">
                <a:ext uri="{FF2B5EF4-FFF2-40B4-BE49-F238E27FC236}">
                  <a16:creationId xmlns:a16="http://schemas.microsoft.com/office/drawing/2014/main" id="{D0B20B41-580F-FCBE-3719-65F2A083C9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63363F7" w14:textId="6F82D565" w:rsidR="00305480" w:rsidRPr="00CE6170" w:rsidRDefault="00305480" w:rsidP="00013E2F">
      <w:pPr>
        <w:pStyle w:val="NormalWeb"/>
      </w:pPr>
      <w:r w:rsidRPr="00CE6170">
        <w:rPr>
          <w:noProof/>
        </w:rPr>
        <w:drawing>
          <wp:inline distT="0" distB="0" distL="0" distR="0" wp14:anchorId="09416EC5" wp14:editId="740A9A8B">
            <wp:extent cx="3543300" cy="2156460"/>
            <wp:effectExtent l="0" t="0" r="0" b="15240"/>
            <wp:docPr id="6" name="Chart 6">
              <a:extLst xmlns:a="http://schemas.openxmlformats.org/drawingml/2006/main">
                <a:ext uri="{FF2B5EF4-FFF2-40B4-BE49-F238E27FC236}">
                  <a16:creationId xmlns:a16="http://schemas.microsoft.com/office/drawing/2014/main" id="{67CB9C36-3AAF-3028-4EE1-E2F50647B8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12E9C6E" w14:textId="7AABECCB" w:rsidR="00305480" w:rsidRPr="00CE6170" w:rsidRDefault="00305480" w:rsidP="00013E2F">
      <w:pPr>
        <w:pStyle w:val="NormalWeb"/>
      </w:pPr>
      <w:r w:rsidRPr="00CE6170">
        <w:rPr>
          <w:noProof/>
        </w:rPr>
        <w:lastRenderedPageBreak/>
        <w:drawing>
          <wp:inline distT="0" distB="0" distL="0" distR="0" wp14:anchorId="30A82BE2" wp14:editId="687D65AB">
            <wp:extent cx="3345180" cy="1943100"/>
            <wp:effectExtent l="0" t="0" r="7620" b="0"/>
            <wp:docPr id="7" name="Chart 7">
              <a:extLst xmlns:a="http://schemas.openxmlformats.org/drawingml/2006/main">
                <a:ext uri="{FF2B5EF4-FFF2-40B4-BE49-F238E27FC236}">
                  <a16:creationId xmlns:a16="http://schemas.microsoft.com/office/drawing/2014/main" id="{57F68AB5-BE71-BF57-0E67-9C3F692242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A7ADEC9" w14:textId="77777777" w:rsidR="00673F00" w:rsidRPr="00CE6170" w:rsidRDefault="00673F00" w:rsidP="00673F00">
      <w:pPr>
        <w:pStyle w:val="Heading3"/>
        <w:rPr>
          <w:rFonts w:ascii="Times New Roman" w:hAnsi="Times New Roman" w:cs="Times New Roman"/>
        </w:rPr>
      </w:pPr>
      <w:r w:rsidRPr="00D41EAA">
        <w:rPr>
          <w:rStyle w:val="Strong"/>
          <w:rFonts w:ascii="Times New Roman" w:hAnsi="Times New Roman" w:cs="Times New Roman"/>
          <w:color w:val="auto"/>
        </w:rPr>
        <w:t>Insight 1: High Financial Impact Concentrated in Finance and Compliance</w:t>
      </w:r>
    </w:p>
    <w:p w14:paraId="242379D3" w14:textId="1DC1E93B" w:rsidR="00D41EAA" w:rsidRPr="00D41EAA" w:rsidRDefault="00D41EAA" w:rsidP="00D41EAA">
      <w:pPr>
        <w:pStyle w:val="NormalWeb"/>
        <w:rPr>
          <w:lang w:val="en-GB"/>
        </w:rPr>
      </w:pPr>
      <w:r w:rsidRPr="00D41EAA">
        <w:rPr>
          <w:lang w:val="en-GB"/>
        </w:rPr>
        <w:t>The cost analysis showed that the Finance department spent the most money overall ($1.37M) on incident-related expenses, followed by IT ($1.11M) and Legal ($1.20M). Similarly, the Compliance team outspent all other teams in charge by $1.72 million. These findings suggest that there are governance issues in departments that engage in sensitive, high-risk activities, which are also the areas with the greatest regulatory exposure</w:t>
      </w:r>
      <w:r w:rsidR="0031043B">
        <w:rPr>
          <w:lang w:val="en-GB"/>
        </w:rPr>
        <w:t>.</w:t>
      </w:r>
    </w:p>
    <w:p w14:paraId="66C576FB" w14:textId="168FE82B" w:rsidR="00673F00" w:rsidRPr="00D41EAA" w:rsidRDefault="00673F00" w:rsidP="00673F00">
      <w:pPr>
        <w:pStyle w:val="NormalWeb"/>
        <w:rPr>
          <w:lang w:val="en-GB"/>
        </w:rPr>
      </w:pPr>
      <w:r w:rsidRPr="00CE6170">
        <w:rPr>
          <w:rStyle w:val="Strong"/>
        </w:rPr>
        <w:t>Recommendation:</w:t>
      </w:r>
      <w:r w:rsidRPr="00CE6170">
        <w:t xml:space="preserve"> </w:t>
      </w:r>
      <w:r w:rsidR="00D41EAA" w:rsidRPr="00D41EAA">
        <w:rPr>
          <w:lang w:val="en-GB"/>
        </w:rPr>
        <w:t>In Finance and Compliance, NDPC should implement more robust preventive controls and carry out department-specific risk assessments. This entails regular compliance audits, improved access controls, and real-time process monitoring. In order to ensure board-level visibility and improve accountability, the CISO, Internal Audit, and Risk Management departments should share oversight of these high-risk departments (Shackelford, 2020).</w:t>
      </w:r>
    </w:p>
    <w:p w14:paraId="15A26B3B" w14:textId="77777777" w:rsidR="00673F00" w:rsidRPr="00D41EAA" w:rsidRDefault="00673F00" w:rsidP="00673F00">
      <w:pPr>
        <w:pStyle w:val="Heading3"/>
        <w:rPr>
          <w:rFonts w:ascii="Times New Roman" w:hAnsi="Times New Roman" w:cs="Times New Roman"/>
          <w:color w:val="auto"/>
        </w:rPr>
      </w:pPr>
      <w:r w:rsidRPr="00D41EAA">
        <w:rPr>
          <w:rStyle w:val="Strong"/>
          <w:rFonts w:ascii="Times New Roman" w:hAnsi="Times New Roman" w:cs="Times New Roman"/>
          <w:color w:val="auto"/>
        </w:rPr>
        <w:t>Insight 2: Resolution Time Not Aligned with Severity</w:t>
      </w:r>
    </w:p>
    <w:p w14:paraId="6179A13C" w14:textId="120F2042" w:rsidR="00D41EAA" w:rsidRPr="00D41EAA" w:rsidRDefault="00D41EAA" w:rsidP="00D41EAA">
      <w:pPr>
        <w:pStyle w:val="NormalWeb"/>
        <w:rPr>
          <w:lang w:val="en-GB"/>
        </w:rPr>
      </w:pPr>
      <w:r>
        <w:rPr>
          <w:lang w:val="en-GB"/>
        </w:rPr>
        <w:t>U</w:t>
      </w:r>
      <w:r w:rsidRPr="00D41EAA">
        <w:rPr>
          <w:lang w:val="en-GB"/>
        </w:rPr>
        <w:t xml:space="preserve">nexpectedly, it took 16 days on average for incidents of Medium severity to be resolved, longer than even Critical incidents (13.9 days). This suggests that the prioritization of incident response is inconsistent. </w:t>
      </w:r>
      <w:r>
        <w:rPr>
          <w:lang w:val="en-GB"/>
        </w:rPr>
        <w:t>According to Cisco, t</w:t>
      </w:r>
      <w:r w:rsidRPr="00D41EAA">
        <w:rPr>
          <w:lang w:val="en-GB"/>
        </w:rPr>
        <w:t>here's a chance that unresolved incidents of medium and low severity won't get enough attention, which could lead to more serious breaches.</w:t>
      </w:r>
    </w:p>
    <w:p w14:paraId="30737872" w14:textId="08C12426" w:rsidR="00D41EAA" w:rsidRPr="00D41EAA" w:rsidRDefault="00673F00" w:rsidP="00D41EAA">
      <w:pPr>
        <w:pStyle w:val="NormalWeb"/>
        <w:rPr>
          <w:b/>
          <w:bCs/>
          <w:lang w:val="en-GB"/>
        </w:rPr>
      </w:pPr>
      <w:r w:rsidRPr="00CE6170">
        <w:rPr>
          <w:rStyle w:val="Strong"/>
        </w:rPr>
        <w:t>Recommendation</w:t>
      </w:r>
      <w:r w:rsidR="00D41EAA">
        <w:rPr>
          <w:rStyle w:val="Strong"/>
        </w:rPr>
        <w:t xml:space="preserve">: </w:t>
      </w:r>
      <w:r w:rsidR="00D41EAA" w:rsidRPr="00D41EAA">
        <w:rPr>
          <w:lang w:val="en-GB"/>
        </w:rPr>
        <w:t>In accordance with guidelines like NIST CSF or ISO/IEC 27035, NDPC should to implement a risk-based prioritization framework (NIST, 2018). SLAs for incident response that ensure prompt resolution for all severities should be enforced by the CISO's office. Lower-severity incidents won't go unresolved for long thanks to the automation of triage and escalation procedures.</w:t>
      </w:r>
    </w:p>
    <w:p w14:paraId="7B7C3736" w14:textId="58E07831" w:rsidR="00673F00" w:rsidRPr="00CE6170" w:rsidRDefault="00673F00" w:rsidP="00D41EAA">
      <w:pPr>
        <w:pStyle w:val="NormalWeb"/>
      </w:pPr>
      <w:r w:rsidRPr="00CE6170">
        <w:rPr>
          <w:rStyle w:val="Strong"/>
        </w:rPr>
        <w:t>Insight 3: Governance Gaps in Incident Resolution Backlog</w:t>
      </w:r>
    </w:p>
    <w:p w14:paraId="48318117" w14:textId="76FDEB0F" w:rsidR="00886C20" w:rsidRPr="00886C20" w:rsidRDefault="00886C20" w:rsidP="00886C20">
      <w:pPr>
        <w:pStyle w:val="NormalWeb"/>
        <w:rPr>
          <w:lang w:val="en-GB"/>
        </w:rPr>
      </w:pPr>
      <w:r w:rsidRPr="00886C20">
        <w:rPr>
          <w:lang w:val="en-GB"/>
        </w:rPr>
        <w:t xml:space="preserve">According to the analysis of incident status distribution, 31% of incidents are still Open or In Progress, meaning that even though 60% of incidents have been closed, a sizable portion are still unresolved. This backlog is a result of either insufficient governance oversight, unclear </w:t>
      </w:r>
      <w:r w:rsidRPr="00886C20">
        <w:rPr>
          <w:lang w:val="en-GB"/>
        </w:rPr>
        <w:lastRenderedPageBreak/>
        <w:t>responsibilities, or limited team capacity. Leaving such a high volume of unresolved cases exposes NDPC to prolonged security risks</w:t>
      </w:r>
      <w:r w:rsidR="00341446">
        <w:rPr>
          <w:lang w:val="en-GB"/>
        </w:rPr>
        <w:t>.</w:t>
      </w:r>
    </w:p>
    <w:p w14:paraId="71B47983" w14:textId="4F288546" w:rsidR="00886C20" w:rsidRPr="00886C20" w:rsidRDefault="00673F00" w:rsidP="00886C20">
      <w:pPr>
        <w:pStyle w:val="NormalWeb"/>
        <w:rPr>
          <w:lang w:val="en-GB"/>
        </w:rPr>
      </w:pPr>
      <w:r w:rsidRPr="00CE6170">
        <w:rPr>
          <w:rStyle w:val="Strong"/>
        </w:rPr>
        <w:t>Recommendation:</w:t>
      </w:r>
      <w:r w:rsidRPr="00CE6170">
        <w:t xml:space="preserve"> </w:t>
      </w:r>
      <w:r w:rsidR="00886C20" w:rsidRPr="00886C20">
        <w:rPr>
          <w:lang w:val="en-GB"/>
        </w:rPr>
        <w:t>A governance dashboard should be put in place by NDPC in order to monitor incident closure rates and report past-due cases straight to executive leadership. To better manage incident loads, the SOC and IT Security teams might also need more capacity or more advanced training. In order to promote accountability, the CISO should also incorporate closure metrics into board-level reporting (Gartner, 202</w:t>
      </w:r>
      <w:r w:rsidR="00425BB3">
        <w:rPr>
          <w:lang w:val="en-GB"/>
        </w:rPr>
        <w:t>4</w:t>
      </w:r>
      <w:r w:rsidR="00886C20" w:rsidRPr="00886C20">
        <w:rPr>
          <w:lang w:val="en-GB"/>
        </w:rPr>
        <w:t>).</w:t>
      </w:r>
    </w:p>
    <w:p w14:paraId="4716C061" w14:textId="33A697B1" w:rsidR="00673F00" w:rsidRPr="00CE6170" w:rsidRDefault="00673F00" w:rsidP="00673F00">
      <w:pPr>
        <w:pStyle w:val="NormalWeb"/>
      </w:pPr>
    </w:p>
    <w:p w14:paraId="2D52322A" w14:textId="77777777" w:rsidR="00673F00" w:rsidRPr="00195A68" w:rsidRDefault="00673F00" w:rsidP="00673F00">
      <w:pPr>
        <w:pStyle w:val="Heading2"/>
        <w:rPr>
          <w:sz w:val="28"/>
          <w:szCs w:val="28"/>
        </w:rPr>
      </w:pPr>
      <w:r w:rsidRPr="00195A68">
        <w:rPr>
          <w:rStyle w:val="Strong"/>
          <w:sz w:val="28"/>
          <w:szCs w:val="28"/>
        </w:rPr>
        <w:t>Conclusion</w:t>
      </w:r>
    </w:p>
    <w:p w14:paraId="4D8E29C4" w14:textId="77777777" w:rsidR="00886C20" w:rsidRPr="00886C20" w:rsidRDefault="00886C20" w:rsidP="00886C20">
      <w:pPr>
        <w:pStyle w:val="NormalWeb"/>
        <w:rPr>
          <w:lang w:val="en-GB"/>
        </w:rPr>
      </w:pPr>
      <w:r w:rsidRPr="00886C20">
        <w:rPr>
          <w:lang w:val="en-GB"/>
        </w:rPr>
        <w:t>As this assignment highlights, effective security governance is a technical and strategic function. An illustration of how the role has evolved from being exclusively IT-focused to becoming strategically significant and necessitating board-level involvement is the evolution of the CISO position. The Colonial Pipeline case highlights the need for strong frameworks and executive oversight by demonstrating how bad governance can result in national crises.</w:t>
      </w:r>
    </w:p>
    <w:p w14:paraId="3685013D" w14:textId="77777777" w:rsidR="00886C20" w:rsidRPr="00886C20" w:rsidRDefault="00886C20" w:rsidP="00886C20">
      <w:pPr>
        <w:rPr>
          <w:rFonts w:ascii="Times New Roman" w:eastAsia="Times New Roman" w:hAnsi="Times New Roman" w:cs="Times New Roman"/>
          <w:kern w:val="0"/>
          <w:lang w:val="en-GB"/>
          <w14:ligatures w14:val="none"/>
        </w:rPr>
      </w:pPr>
      <w:r w:rsidRPr="00886C20">
        <w:rPr>
          <w:rFonts w:ascii="Times New Roman" w:eastAsia="Times New Roman" w:hAnsi="Times New Roman" w:cs="Times New Roman"/>
          <w:kern w:val="0"/>
          <w:lang w:val="en-GB"/>
          <w14:ligatures w14:val="none"/>
        </w:rPr>
        <w:t xml:space="preserve">The NDPC case study also shows how data-driven analysis can reveal governance flaws in accountability, cost management, and incident resolution prioritization. NDPC can improve its resilience, lower its regulatory exposure, and harmonize its security governance with international best practices by implementing the suggestions made. </w:t>
      </w:r>
      <w:r w:rsidRPr="00886C20">
        <w:rPr>
          <w:rFonts w:ascii="Times New Roman" w:eastAsia="Times New Roman" w:hAnsi="Times New Roman" w:cs="Times New Roman"/>
          <w:kern w:val="0"/>
          <w:lang w:val="en-GB"/>
          <w14:ligatures w14:val="none"/>
        </w:rPr>
        <w:br/>
        <w:t>Organizations will ultimately be better equipped to handle an increasingly hostile cyber threat landscape and maintain long-term operational success if they integrate governance, risk management, and compliance into their culture.</w:t>
      </w:r>
    </w:p>
    <w:p w14:paraId="142A711C" w14:textId="6DBBB0B6" w:rsidR="00673F00" w:rsidRPr="00CE6170" w:rsidRDefault="00673F00" w:rsidP="00673F00">
      <w:pPr>
        <w:rPr>
          <w:rFonts w:ascii="Times New Roman" w:hAnsi="Times New Roman" w:cs="Times New Roman"/>
        </w:rPr>
      </w:pPr>
    </w:p>
    <w:p w14:paraId="54773066" w14:textId="7B88A3AD" w:rsidR="003027ED" w:rsidRPr="00CE6170" w:rsidRDefault="003027ED" w:rsidP="00673F00">
      <w:pPr>
        <w:rPr>
          <w:rFonts w:ascii="Times New Roman" w:hAnsi="Times New Roman" w:cs="Times New Roman"/>
        </w:rPr>
      </w:pPr>
    </w:p>
    <w:p w14:paraId="43FC0FE5" w14:textId="37FA9B55" w:rsidR="003027ED" w:rsidRPr="00CE6170" w:rsidRDefault="003027ED" w:rsidP="00673F00">
      <w:pPr>
        <w:rPr>
          <w:rFonts w:ascii="Times New Roman" w:hAnsi="Times New Roman" w:cs="Times New Roman"/>
        </w:rPr>
      </w:pPr>
    </w:p>
    <w:p w14:paraId="2425EF3C" w14:textId="5E57A517" w:rsidR="003027ED" w:rsidRDefault="003027ED" w:rsidP="00673F00">
      <w:pPr>
        <w:rPr>
          <w:rFonts w:ascii="Times New Roman" w:hAnsi="Times New Roman" w:cs="Times New Roman"/>
        </w:rPr>
      </w:pPr>
    </w:p>
    <w:p w14:paraId="534C92AB" w14:textId="77777777" w:rsidR="00CE6170" w:rsidRDefault="00CE6170" w:rsidP="00673F00">
      <w:pPr>
        <w:rPr>
          <w:rFonts w:ascii="Times New Roman" w:hAnsi="Times New Roman" w:cs="Times New Roman"/>
        </w:rPr>
      </w:pPr>
    </w:p>
    <w:p w14:paraId="09E5133C" w14:textId="77777777" w:rsidR="00CE6170" w:rsidRDefault="00CE6170" w:rsidP="00673F00">
      <w:pPr>
        <w:rPr>
          <w:rFonts w:ascii="Times New Roman" w:hAnsi="Times New Roman" w:cs="Times New Roman"/>
        </w:rPr>
      </w:pPr>
    </w:p>
    <w:p w14:paraId="3AD10AB9" w14:textId="77777777" w:rsidR="00CE6170" w:rsidRDefault="00CE6170" w:rsidP="00673F00">
      <w:pPr>
        <w:rPr>
          <w:rFonts w:ascii="Times New Roman" w:hAnsi="Times New Roman" w:cs="Times New Roman"/>
        </w:rPr>
      </w:pPr>
    </w:p>
    <w:p w14:paraId="771B1F49" w14:textId="77777777" w:rsidR="00CE6170" w:rsidRDefault="00CE6170" w:rsidP="00673F00">
      <w:pPr>
        <w:rPr>
          <w:rFonts w:ascii="Times New Roman" w:hAnsi="Times New Roman" w:cs="Times New Roman"/>
        </w:rPr>
      </w:pPr>
    </w:p>
    <w:p w14:paraId="2CD4100B" w14:textId="77777777" w:rsidR="00CE6170" w:rsidRPr="00CE6170" w:rsidRDefault="00CE6170" w:rsidP="00673F00">
      <w:pPr>
        <w:rPr>
          <w:rFonts w:ascii="Times New Roman" w:hAnsi="Times New Roman" w:cs="Times New Roman"/>
        </w:rPr>
      </w:pPr>
    </w:p>
    <w:p w14:paraId="3FE641F2" w14:textId="77777777" w:rsidR="003027ED" w:rsidRPr="00CE6170" w:rsidRDefault="003027ED" w:rsidP="003027ED">
      <w:pPr>
        <w:pStyle w:val="Heading1"/>
        <w:rPr>
          <w:rFonts w:ascii="Times New Roman" w:hAnsi="Times New Roman" w:cs="Times New Roman"/>
          <w:sz w:val="24"/>
          <w:szCs w:val="24"/>
        </w:rPr>
      </w:pPr>
      <w:r w:rsidRPr="00CE6170">
        <w:rPr>
          <w:rStyle w:val="Strong"/>
          <w:rFonts w:ascii="Times New Roman" w:hAnsi="Times New Roman" w:cs="Times New Roman"/>
          <w:sz w:val="24"/>
          <w:szCs w:val="24"/>
        </w:rPr>
        <w:lastRenderedPageBreak/>
        <w:t>References</w:t>
      </w:r>
    </w:p>
    <w:p w14:paraId="7F7CB9C7" w14:textId="77777777" w:rsidR="003027ED" w:rsidRPr="00CE6170" w:rsidRDefault="003027ED" w:rsidP="003027ED">
      <w:pPr>
        <w:pStyle w:val="NormalWeb"/>
      </w:pPr>
      <w:proofErr w:type="spellStart"/>
      <w:r w:rsidRPr="00CE6170">
        <w:t>Alshaikh</w:t>
      </w:r>
      <w:proofErr w:type="spellEnd"/>
      <w:r w:rsidRPr="00CE6170">
        <w:t xml:space="preserve">, M. (2020). Developing cybersecurity culture to influence employee behavior: A practice perspective. </w:t>
      </w:r>
      <w:r w:rsidRPr="00CE6170">
        <w:rPr>
          <w:rStyle w:val="Emphasis"/>
        </w:rPr>
        <w:t>Computers &amp; Security, 98,</w:t>
      </w:r>
      <w:r w:rsidRPr="00CE6170">
        <w:t xml:space="preserve"> 102003. </w:t>
      </w:r>
      <w:hyperlink r:id="rId9" w:history="1">
        <w:r w:rsidRPr="00CE6170">
          <w:rPr>
            <w:rStyle w:val="Hyperlink"/>
            <w:rFonts w:eastAsiaTheme="majorEastAsia"/>
          </w:rPr>
          <w:t>https://doi.org/10.1016/j.cose.2020.102003</w:t>
        </w:r>
      </w:hyperlink>
    </w:p>
    <w:p w14:paraId="060F4AE9" w14:textId="6AF855B6" w:rsidR="003027ED" w:rsidRPr="00CE6170" w:rsidRDefault="007A74F2" w:rsidP="003027ED">
      <w:pPr>
        <w:pStyle w:val="NormalWeb"/>
      </w:pPr>
      <w:r>
        <w:t xml:space="preserve">Wikipedia. </w:t>
      </w:r>
      <w:r w:rsidRPr="007A74F2">
        <w:rPr>
          <w:i/>
          <w:iCs/>
        </w:rPr>
        <w:t>Colonial Pipeline Ransomware Attack 2021.</w:t>
      </w:r>
      <w:r>
        <w:t xml:space="preserve"> </w:t>
      </w:r>
      <w:hyperlink r:id="rId10" w:history="1">
        <w:r w:rsidRPr="00482F1D">
          <w:rPr>
            <w:rStyle w:val="Hyperlink"/>
          </w:rPr>
          <w:t>https://en.m.wikipedia.org/wiki/Colonial_Pipeline_ransomware_attack</w:t>
        </w:r>
      </w:hyperlink>
      <w:r>
        <w:t xml:space="preserve"> </w:t>
      </w:r>
    </w:p>
    <w:p w14:paraId="606AFD82" w14:textId="2E18C3A9" w:rsidR="007A74F2" w:rsidRPr="007A74F2" w:rsidRDefault="00EC3B51" w:rsidP="003027ED">
      <w:pPr>
        <w:pStyle w:val="NormalWeb"/>
        <w:rPr>
          <w:rFonts w:eastAsiaTheme="majorEastAsia"/>
          <w:color w:val="0000FF"/>
          <w:u w:val="single"/>
        </w:rPr>
      </w:pPr>
      <w:r>
        <w:rPr>
          <w:rStyle w:val="Hyperlink"/>
          <w:rFonts w:eastAsiaTheme="majorEastAsia"/>
        </w:rPr>
        <w:t xml:space="preserve">2017 Equifax data breach </w:t>
      </w:r>
      <w:r w:rsidR="007A74F2">
        <w:rPr>
          <w:rStyle w:val="Hyperlink"/>
          <w:rFonts w:eastAsiaTheme="majorEastAsia"/>
        </w:rPr>
        <w:t>–</w:t>
      </w:r>
      <w:r>
        <w:rPr>
          <w:rStyle w:val="Hyperlink"/>
          <w:rFonts w:eastAsiaTheme="majorEastAsia"/>
        </w:rPr>
        <w:t xml:space="preserve"> Wikipedia</w:t>
      </w:r>
    </w:p>
    <w:p w14:paraId="3189E9FE" w14:textId="6D72D722" w:rsidR="003027ED" w:rsidRPr="00CE6170" w:rsidRDefault="003027ED" w:rsidP="003027ED">
      <w:pPr>
        <w:pStyle w:val="NormalWeb"/>
      </w:pPr>
      <w:r w:rsidRPr="00CE6170">
        <w:t>Gartner. (202</w:t>
      </w:r>
      <w:r w:rsidR="006E0266">
        <w:t>4</w:t>
      </w:r>
      <w:r w:rsidRPr="00CE6170">
        <w:t xml:space="preserve">). </w:t>
      </w:r>
      <w:r w:rsidR="006E0266">
        <w:rPr>
          <w:rStyle w:val="Emphasis"/>
        </w:rPr>
        <w:t>Reframing the CISO Role to Drive Business Enablement and Resilience</w:t>
      </w:r>
      <w:r w:rsidRPr="00CE6170">
        <w:t xml:space="preserve">. Gartner Research. </w:t>
      </w:r>
      <w:hyperlink r:id="rId11" w:history="1">
        <w:r w:rsidRPr="00CE6170">
          <w:rPr>
            <w:rStyle w:val="Hyperlink"/>
            <w:rFonts w:eastAsiaTheme="majorEastAsia"/>
          </w:rPr>
          <w:t>https://www.gartner.com</w:t>
        </w:r>
      </w:hyperlink>
      <w:r w:rsidR="006E0266">
        <w:rPr>
          <w:rStyle w:val="Hyperlink"/>
          <w:rFonts w:eastAsiaTheme="majorEastAsia"/>
        </w:rPr>
        <w:t>/en/documents/5751415</w:t>
      </w:r>
    </w:p>
    <w:p w14:paraId="12E27AA9" w14:textId="77777777" w:rsidR="003027ED" w:rsidRPr="00CE6170" w:rsidRDefault="003027ED" w:rsidP="003027ED">
      <w:pPr>
        <w:pStyle w:val="NormalWeb"/>
      </w:pPr>
      <w:r w:rsidRPr="00CE6170">
        <w:t xml:space="preserve">National Institute of Standards and Technology. (2018). </w:t>
      </w:r>
      <w:r w:rsidRPr="00CE6170">
        <w:rPr>
          <w:rStyle w:val="Emphasis"/>
        </w:rPr>
        <w:t>Framework for Improving Critical Infrastructure Cybersecurity</w:t>
      </w:r>
      <w:r w:rsidRPr="00CE6170">
        <w:t xml:space="preserve"> (Version 1.1). U.S. Department of Commerce. </w:t>
      </w:r>
      <w:hyperlink r:id="rId12" w:history="1">
        <w:r w:rsidRPr="00CE6170">
          <w:rPr>
            <w:rStyle w:val="Hyperlink"/>
            <w:rFonts w:eastAsiaTheme="majorEastAsia"/>
          </w:rPr>
          <w:t>https://doi.org/10.6028/NIST.CSWP.04162018</w:t>
        </w:r>
      </w:hyperlink>
    </w:p>
    <w:p w14:paraId="00EE27D1" w14:textId="77777777" w:rsidR="003027ED" w:rsidRPr="00CE6170" w:rsidRDefault="003027ED" w:rsidP="003027ED">
      <w:pPr>
        <w:pStyle w:val="NormalWeb"/>
      </w:pPr>
      <w:r w:rsidRPr="00CE6170">
        <w:t xml:space="preserve">Shackelford, S. J. (2020). Governing cybersecurity: Global responses to technological risks. </w:t>
      </w:r>
      <w:r w:rsidRPr="00CE6170">
        <w:rPr>
          <w:rStyle w:val="Emphasis"/>
        </w:rPr>
        <w:t>International Journal of Law and Information Technology, 28</w:t>
      </w:r>
      <w:r w:rsidRPr="00CE6170">
        <w:t xml:space="preserve">(2), 93–118. </w:t>
      </w:r>
      <w:hyperlink r:id="rId13" w:history="1">
        <w:r w:rsidRPr="00CE6170">
          <w:rPr>
            <w:rStyle w:val="Hyperlink"/>
            <w:rFonts w:eastAsiaTheme="majorEastAsia"/>
          </w:rPr>
          <w:t>https://doi.org/10.1093/ijlit/eaaa002</w:t>
        </w:r>
      </w:hyperlink>
    </w:p>
    <w:p w14:paraId="63654A74" w14:textId="77777777" w:rsidR="003027ED" w:rsidRPr="00CE6170" w:rsidRDefault="003027ED" w:rsidP="00673F00">
      <w:pPr>
        <w:rPr>
          <w:rFonts w:ascii="Times New Roman" w:hAnsi="Times New Roman" w:cs="Times New Roman"/>
        </w:rPr>
      </w:pPr>
    </w:p>
    <w:sectPr w:rsidR="003027ED" w:rsidRPr="00CE61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charset w:val="00"/>
    <w:family w:val="swiss"/>
    <w:pitch w:val="variable"/>
    <w:sig w:usb0="20000287" w:usb1="00000003" w:usb2="00000000" w:usb3="00000000" w:csb0="0000019F" w:csb1="00000000"/>
  </w:font>
  <w:font w:name="Aptos Display">
    <w:altName w:val="Cambria"/>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BC1697"/>
    <w:multiLevelType w:val="hybridMultilevel"/>
    <w:tmpl w:val="93188A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68973B4"/>
    <w:multiLevelType w:val="multilevel"/>
    <w:tmpl w:val="3758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909A6"/>
    <w:multiLevelType w:val="multilevel"/>
    <w:tmpl w:val="CC36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073397"/>
    <w:multiLevelType w:val="hybridMultilevel"/>
    <w:tmpl w:val="B9D0F1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3EE7A80"/>
    <w:multiLevelType w:val="multilevel"/>
    <w:tmpl w:val="CB7C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656FE4"/>
    <w:multiLevelType w:val="hybridMultilevel"/>
    <w:tmpl w:val="814018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E4732A6"/>
    <w:multiLevelType w:val="multilevel"/>
    <w:tmpl w:val="851E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934403">
    <w:abstractNumId w:val="2"/>
  </w:num>
  <w:num w:numId="2" w16cid:durableId="1146820899">
    <w:abstractNumId w:val="4"/>
  </w:num>
  <w:num w:numId="3" w16cid:durableId="428896023">
    <w:abstractNumId w:val="1"/>
  </w:num>
  <w:num w:numId="4" w16cid:durableId="1890417214">
    <w:abstractNumId w:val="6"/>
  </w:num>
  <w:num w:numId="5" w16cid:durableId="60754930">
    <w:abstractNumId w:val="5"/>
  </w:num>
  <w:num w:numId="6" w16cid:durableId="1634943093">
    <w:abstractNumId w:val="0"/>
  </w:num>
  <w:num w:numId="7" w16cid:durableId="16283141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99F"/>
    <w:rsid w:val="00013E2F"/>
    <w:rsid w:val="000476CE"/>
    <w:rsid w:val="00054D4E"/>
    <w:rsid w:val="001039EA"/>
    <w:rsid w:val="00195A68"/>
    <w:rsid w:val="001A4000"/>
    <w:rsid w:val="00277044"/>
    <w:rsid w:val="002E25CA"/>
    <w:rsid w:val="003027ED"/>
    <w:rsid w:val="00305480"/>
    <w:rsid w:val="0031043B"/>
    <w:rsid w:val="00341446"/>
    <w:rsid w:val="00347497"/>
    <w:rsid w:val="00425BB3"/>
    <w:rsid w:val="005148D0"/>
    <w:rsid w:val="00577D1B"/>
    <w:rsid w:val="005D2EA2"/>
    <w:rsid w:val="0060555E"/>
    <w:rsid w:val="00673F00"/>
    <w:rsid w:val="006C49B3"/>
    <w:rsid w:val="006D2238"/>
    <w:rsid w:val="006E0266"/>
    <w:rsid w:val="00715EDD"/>
    <w:rsid w:val="007623D8"/>
    <w:rsid w:val="007A74F2"/>
    <w:rsid w:val="008001F9"/>
    <w:rsid w:val="00877F69"/>
    <w:rsid w:val="00886C20"/>
    <w:rsid w:val="009849D0"/>
    <w:rsid w:val="009B3F7C"/>
    <w:rsid w:val="00A44A6B"/>
    <w:rsid w:val="00A6178B"/>
    <w:rsid w:val="00A622F0"/>
    <w:rsid w:val="00AE7811"/>
    <w:rsid w:val="00B37DB9"/>
    <w:rsid w:val="00B53511"/>
    <w:rsid w:val="00B705D9"/>
    <w:rsid w:val="00BB1C17"/>
    <w:rsid w:val="00CA5E8D"/>
    <w:rsid w:val="00CE6170"/>
    <w:rsid w:val="00CF099F"/>
    <w:rsid w:val="00D32318"/>
    <w:rsid w:val="00D41EAA"/>
    <w:rsid w:val="00D75899"/>
    <w:rsid w:val="00DD28D8"/>
    <w:rsid w:val="00E60F67"/>
    <w:rsid w:val="00EA3FD8"/>
    <w:rsid w:val="00EB2B03"/>
    <w:rsid w:val="00EC3B51"/>
    <w:rsid w:val="00EE1C0F"/>
    <w:rsid w:val="00F25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AFDAD"/>
  <w15:chartTrackingRefBased/>
  <w15:docId w15:val="{B8654F04-0891-45C9-A13A-A40E031AF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99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CF099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CF099F"/>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099F"/>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CF099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F099F"/>
    <w:rPr>
      <w:b/>
      <w:bCs/>
    </w:rPr>
  </w:style>
  <w:style w:type="character" w:customStyle="1" w:styleId="Heading3Char">
    <w:name w:val="Heading 3 Char"/>
    <w:basedOn w:val="DefaultParagraphFont"/>
    <w:link w:val="Heading3"/>
    <w:uiPriority w:val="9"/>
    <w:semiHidden/>
    <w:rsid w:val="00CF099F"/>
    <w:rPr>
      <w:rFonts w:asciiTheme="majorHAnsi" w:eastAsiaTheme="majorEastAsia" w:hAnsiTheme="majorHAnsi" w:cstheme="majorBidi"/>
      <w:color w:val="0A2F40" w:themeColor="accent1" w:themeShade="7F"/>
    </w:rPr>
  </w:style>
  <w:style w:type="character" w:customStyle="1" w:styleId="Heading1Char">
    <w:name w:val="Heading 1 Char"/>
    <w:basedOn w:val="DefaultParagraphFont"/>
    <w:link w:val="Heading1"/>
    <w:uiPriority w:val="9"/>
    <w:rsid w:val="00CF099F"/>
    <w:rPr>
      <w:rFonts w:asciiTheme="majorHAnsi" w:eastAsiaTheme="majorEastAsia" w:hAnsiTheme="majorHAnsi" w:cstheme="majorBidi"/>
      <w:color w:val="0F4761" w:themeColor="accent1" w:themeShade="BF"/>
      <w:sz w:val="32"/>
      <w:szCs w:val="32"/>
    </w:rPr>
  </w:style>
  <w:style w:type="character" w:styleId="Emphasis">
    <w:name w:val="Emphasis"/>
    <w:basedOn w:val="DefaultParagraphFont"/>
    <w:uiPriority w:val="20"/>
    <w:qFormat/>
    <w:rsid w:val="003027ED"/>
    <w:rPr>
      <w:i/>
      <w:iCs/>
    </w:rPr>
  </w:style>
  <w:style w:type="character" w:styleId="Hyperlink">
    <w:name w:val="Hyperlink"/>
    <w:basedOn w:val="DefaultParagraphFont"/>
    <w:uiPriority w:val="99"/>
    <w:unhideWhenUsed/>
    <w:rsid w:val="003027ED"/>
    <w:rPr>
      <w:color w:val="0000FF"/>
      <w:u w:val="single"/>
    </w:rPr>
  </w:style>
  <w:style w:type="paragraph" w:styleId="ListParagraph">
    <w:name w:val="List Paragraph"/>
    <w:basedOn w:val="Normal"/>
    <w:uiPriority w:val="34"/>
    <w:qFormat/>
    <w:rsid w:val="00F25E2E"/>
    <w:pPr>
      <w:ind w:left="720"/>
      <w:contextualSpacing/>
    </w:pPr>
  </w:style>
  <w:style w:type="character" w:styleId="FollowedHyperlink">
    <w:name w:val="FollowedHyperlink"/>
    <w:basedOn w:val="DefaultParagraphFont"/>
    <w:uiPriority w:val="99"/>
    <w:semiHidden/>
    <w:unhideWhenUsed/>
    <w:rsid w:val="00886C20"/>
    <w:rPr>
      <w:color w:val="96607D" w:themeColor="followedHyperlink"/>
      <w:u w:val="single"/>
    </w:rPr>
  </w:style>
  <w:style w:type="character" w:styleId="UnresolvedMention">
    <w:name w:val="Unresolved Mention"/>
    <w:basedOn w:val="DefaultParagraphFont"/>
    <w:uiPriority w:val="99"/>
    <w:semiHidden/>
    <w:unhideWhenUsed/>
    <w:rsid w:val="007A74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86399">
      <w:bodyDiv w:val="1"/>
      <w:marLeft w:val="0"/>
      <w:marRight w:val="0"/>
      <w:marTop w:val="0"/>
      <w:marBottom w:val="0"/>
      <w:divBdr>
        <w:top w:val="none" w:sz="0" w:space="0" w:color="auto"/>
        <w:left w:val="none" w:sz="0" w:space="0" w:color="auto"/>
        <w:bottom w:val="none" w:sz="0" w:space="0" w:color="auto"/>
        <w:right w:val="none" w:sz="0" w:space="0" w:color="auto"/>
      </w:divBdr>
    </w:div>
    <w:div w:id="106825529">
      <w:bodyDiv w:val="1"/>
      <w:marLeft w:val="0"/>
      <w:marRight w:val="0"/>
      <w:marTop w:val="0"/>
      <w:marBottom w:val="0"/>
      <w:divBdr>
        <w:top w:val="none" w:sz="0" w:space="0" w:color="auto"/>
        <w:left w:val="none" w:sz="0" w:space="0" w:color="auto"/>
        <w:bottom w:val="none" w:sz="0" w:space="0" w:color="auto"/>
        <w:right w:val="none" w:sz="0" w:space="0" w:color="auto"/>
      </w:divBdr>
    </w:div>
    <w:div w:id="165487113">
      <w:bodyDiv w:val="1"/>
      <w:marLeft w:val="0"/>
      <w:marRight w:val="0"/>
      <w:marTop w:val="0"/>
      <w:marBottom w:val="0"/>
      <w:divBdr>
        <w:top w:val="none" w:sz="0" w:space="0" w:color="auto"/>
        <w:left w:val="none" w:sz="0" w:space="0" w:color="auto"/>
        <w:bottom w:val="none" w:sz="0" w:space="0" w:color="auto"/>
        <w:right w:val="none" w:sz="0" w:space="0" w:color="auto"/>
      </w:divBdr>
    </w:div>
    <w:div w:id="176508285">
      <w:bodyDiv w:val="1"/>
      <w:marLeft w:val="0"/>
      <w:marRight w:val="0"/>
      <w:marTop w:val="0"/>
      <w:marBottom w:val="0"/>
      <w:divBdr>
        <w:top w:val="none" w:sz="0" w:space="0" w:color="auto"/>
        <w:left w:val="none" w:sz="0" w:space="0" w:color="auto"/>
        <w:bottom w:val="none" w:sz="0" w:space="0" w:color="auto"/>
        <w:right w:val="none" w:sz="0" w:space="0" w:color="auto"/>
      </w:divBdr>
    </w:div>
    <w:div w:id="185489141">
      <w:bodyDiv w:val="1"/>
      <w:marLeft w:val="0"/>
      <w:marRight w:val="0"/>
      <w:marTop w:val="0"/>
      <w:marBottom w:val="0"/>
      <w:divBdr>
        <w:top w:val="none" w:sz="0" w:space="0" w:color="auto"/>
        <w:left w:val="none" w:sz="0" w:space="0" w:color="auto"/>
        <w:bottom w:val="none" w:sz="0" w:space="0" w:color="auto"/>
        <w:right w:val="none" w:sz="0" w:space="0" w:color="auto"/>
      </w:divBdr>
    </w:div>
    <w:div w:id="199174729">
      <w:bodyDiv w:val="1"/>
      <w:marLeft w:val="0"/>
      <w:marRight w:val="0"/>
      <w:marTop w:val="0"/>
      <w:marBottom w:val="0"/>
      <w:divBdr>
        <w:top w:val="none" w:sz="0" w:space="0" w:color="auto"/>
        <w:left w:val="none" w:sz="0" w:space="0" w:color="auto"/>
        <w:bottom w:val="none" w:sz="0" w:space="0" w:color="auto"/>
        <w:right w:val="none" w:sz="0" w:space="0" w:color="auto"/>
      </w:divBdr>
    </w:div>
    <w:div w:id="256326959">
      <w:bodyDiv w:val="1"/>
      <w:marLeft w:val="0"/>
      <w:marRight w:val="0"/>
      <w:marTop w:val="0"/>
      <w:marBottom w:val="0"/>
      <w:divBdr>
        <w:top w:val="none" w:sz="0" w:space="0" w:color="auto"/>
        <w:left w:val="none" w:sz="0" w:space="0" w:color="auto"/>
        <w:bottom w:val="none" w:sz="0" w:space="0" w:color="auto"/>
        <w:right w:val="none" w:sz="0" w:space="0" w:color="auto"/>
      </w:divBdr>
    </w:div>
    <w:div w:id="288829031">
      <w:bodyDiv w:val="1"/>
      <w:marLeft w:val="0"/>
      <w:marRight w:val="0"/>
      <w:marTop w:val="0"/>
      <w:marBottom w:val="0"/>
      <w:divBdr>
        <w:top w:val="none" w:sz="0" w:space="0" w:color="auto"/>
        <w:left w:val="none" w:sz="0" w:space="0" w:color="auto"/>
        <w:bottom w:val="none" w:sz="0" w:space="0" w:color="auto"/>
        <w:right w:val="none" w:sz="0" w:space="0" w:color="auto"/>
      </w:divBdr>
    </w:div>
    <w:div w:id="414547663">
      <w:bodyDiv w:val="1"/>
      <w:marLeft w:val="0"/>
      <w:marRight w:val="0"/>
      <w:marTop w:val="0"/>
      <w:marBottom w:val="0"/>
      <w:divBdr>
        <w:top w:val="none" w:sz="0" w:space="0" w:color="auto"/>
        <w:left w:val="none" w:sz="0" w:space="0" w:color="auto"/>
        <w:bottom w:val="none" w:sz="0" w:space="0" w:color="auto"/>
        <w:right w:val="none" w:sz="0" w:space="0" w:color="auto"/>
      </w:divBdr>
    </w:div>
    <w:div w:id="468087975">
      <w:bodyDiv w:val="1"/>
      <w:marLeft w:val="0"/>
      <w:marRight w:val="0"/>
      <w:marTop w:val="0"/>
      <w:marBottom w:val="0"/>
      <w:divBdr>
        <w:top w:val="none" w:sz="0" w:space="0" w:color="auto"/>
        <w:left w:val="none" w:sz="0" w:space="0" w:color="auto"/>
        <w:bottom w:val="none" w:sz="0" w:space="0" w:color="auto"/>
        <w:right w:val="none" w:sz="0" w:space="0" w:color="auto"/>
      </w:divBdr>
    </w:div>
    <w:div w:id="490952866">
      <w:bodyDiv w:val="1"/>
      <w:marLeft w:val="0"/>
      <w:marRight w:val="0"/>
      <w:marTop w:val="0"/>
      <w:marBottom w:val="0"/>
      <w:divBdr>
        <w:top w:val="none" w:sz="0" w:space="0" w:color="auto"/>
        <w:left w:val="none" w:sz="0" w:space="0" w:color="auto"/>
        <w:bottom w:val="none" w:sz="0" w:space="0" w:color="auto"/>
        <w:right w:val="none" w:sz="0" w:space="0" w:color="auto"/>
      </w:divBdr>
    </w:div>
    <w:div w:id="492843222">
      <w:bodyDiv w:val="1"/>
      <w:marLeft w:val="0"/>
      <w:marRight w:val="0"/>
      <w:marTop w:val="0"/>
      <w:marBottom w:val="0"/>
      <w:divBdr>
        <w:top w:val="none" w:sz="0" w:space="0" w:color="auto"/>
        <w:left w:val="none" w:sz="0" w:space="0" w:color="auto"/>
        <w:bottom w:val="none" w:sz="0" w:space="0" w:color="auto"/>
        <w:right w:val="none" w:sz="0" w:space="0" w:color="auto"/>
      </w:divBdr>
    </w:div>
    <w:div w:id="546182572">
      <w:bodyDiv w:val="1"/>
      <w:marLeft w:val="0"/>
      <w:marRight w:val="0"/>
      <w:marTop w:val="0"/>
      <w:marBottom w:val="0"/>
      <w:divBdr>
        <w:top w:val="none" w:sz="0" w:space="0" w:color="auto"/>
        <w:left w:val="none" w:sz="0" w:space="0" w:color="auto"/>
        <w:bottom w:val="none" w:sz="0" w:space="0" w:color="auto"/>
        <w:right w:val="none" w:sz="0" w:space="0" w:color="auto"/>
      </w:divBdr>
    </w:div>
    <w:div w:id="558132129">
      <w:bodyDiv w:val="1"/>
      <w:marLeft w:val="0"/>
      <w:marRight w:val="0"/>
      <w:marTop w:val="0"/>
      <w:marBottom w:val="0"/>
      <w:divBdr>
        <w:top w:val="none" w:sz="0" w:space="0" w:color="auto"/>
        <w:left w:val="none" w:sz="0" w:space="0" w:color="auto"/>
        <w:bottom w:val="none" w:sz="0" w:space="0" w:color="auto"/>
        <w:right w:val="none" w:sz="0" w:space="0" w:color="auto"/>
      </w:divBdr>
    </w:div>
    <w:div w:id="628439873">
      <w:bodyDiv w:val="1"/>
      <w:marLeft w:val="0"/>
      <w:marRight w:val="0"/>
      <w:marTop w:val="0"/>
      <w:marBottom w:val="0"/>
      <w:divBdr>
        <w:top w:val="none" w:sz="0" w:space="0" w:color="auto"/>
        <w:left w:val="none" w:sz="0" w:space="0" w:color="auto"/>
        <w:bottom w:val="none" w:sz="0" w:space="0" w:color="auto"/>
        <w:right w:val="none" w:sz="0" w:space="0" w:color="auto"/>
      </w:divBdr>
    </w:div>
    <w:div w:id="716859818">
      <w:bodyDiv w:val="1"/>
      <w:marLeft w:val="0"/>
      <w:marRight w:val="0"/>
      <w:marTop w:val="0"/>
      <w:marBottom w:val="0"/>
      <w:divBdr>
        <w:top w:val="none" w:sz="0" w:space="0" w:color="auto"/>
        <w:left w:val="none" w:sz="0" w:space="0" w:color="auto"/>
        <w:bottom w:val="none" w:sz="0" w:space="0" w:color="auto"/>
        <w:right w:val="none" w:sz="0" w:space="0" w:color="auto"/>
      </w:divBdr>
    </w:div>
    <w:div w:id="770011396">
      <w:bodyDiv w:val="1"/>
      <w:marLeft w:val="0"/>
      <w:marRight w:val="0"/>
      <w:marTop w:val="0"/>
      <w:marBottom w:val="0"/>
      <w:divBdr>
        <w:top w:val="none" w:sz="0" w:space="0" w:color="auto"/>
        <w:left w:val="none" w:sz="0" w:space="0" w:color="auto"/>
        <w:bottom w:val="none" w:sz="0" w:space="0" w:color="auto"/>
        <w:right w:val="none" w:sz="0" w:space="0" w:color="auto"/>
      </w:divBdr>
    </w:div>
    <w:div w:id="856968598">
      <w:bodyDiv w:val="1"/>
      <w:marLeft w:val="0"/>
      <w:marRight w:val="0"/>
      <w:marTop w:val="0"/>
      <w:marBottom w:val="0"/>
      <w:divBdr>
        <w:top w:val="none" w:sz="0" w:space="0" w:color="auto"/>
        <w:left w:val="none" w:sz="0" w:space="0" w:color="auto"/>
        <w:bottom w:val="none" w:sz="0" w:space="0" w:color="auto"/>
        <w:right w:val="none" w:sz="0" w:space="0" w:color="auto"/>
      </w:divBdr>
    </w:div>
    <w:div w:id="860700210">
      <w:bodyDiv w:val="1"/>
      <w:marLeft w:val="0"/>
      <w:marRight w:val="0"/>
      <w:marTop w:val="0"/>
      <w:marBottom w:val="0"/>
      <w:divBdr>
        <w:top w:val="none" w:sz="0" w:space="0" w:color="auto"/>
        <w:left w:val="none" w:sz="0" w:space="0" w:color="auto"/>
        <w:bottom w:val="none" w:sz="0" w:space="0" w:color="auto"/>
        <w:right w:val="none" w:sz="0" w:space="0" w:color="auto"/>
      </w:divBdr>
    </w:div>
    <w:div w:id="924532391">
      <w:bodyDiv w:val="1"/>
      <w:marLeft w:val="0"/>
      <w:marRight w:val="0"/>
      <w:marTop w:val="0"/>
      <w:marBottom w:val="0"/>
      <w:divBdr>
        <w:top w:val="none" w:sz="0" w:space="0" w:color="auto"/>
        <w:left w:val="none" w:sz="0" w:space="0" w:color="auto"/>
        <w:bottom w:val="none" w:sz="0" w:space="0" w:color="auto"/>
        <w:right w:val="none" w:sz="0" w:space="0" w:color="auto"/>
      </w:divBdr>
    </w:div>
    <w:div w:id="1113524171">
      <w:bodyDiv w:val="1"/>
      <w:marLeft w:val="0"/>
      <w:marRight w:val="0"/>
      <w:marTop w:val="0"/>
      <w:marBottom w:val="0"/>
      <w:divBdr>
        <w:top w:val="none" w:sz="0" w:space="0" w:color="auto"/>
        <w:left w:val="none" w:sz="0" w:space="0" w:color="auto"/>
        <w:bottom w:val="none" w:sz="0" w:space="0" w:color="auto"/>
        <w:right w:val="none" w:sz="0" w:space="0" w:color="auto"/>
      </w:divBdr>
    </w:div>
    <w:div w:id="1162044676">
      <w:bodyDiv w:val="1"/>
      <w:marLeft w:val="0"/>
      <w:marRight w:val="0"/>
      <w:marTop w:val="0"/>
      <w:marBottom w:val="0"/>
      <w:divBdr>
        <w:top w:val="none" w:sz="0" w:space="0" w:color="auto"/>
        <w:left w:val="none" w:sz="0" w:space="0" w:color="auto"/>
        <w:bottom w:val="none" w:sz="0" w:space="0" w:color="auto"/>
        <w:right w:val="none" w:sz="0" w:space="0" w:color="auto"/>
      </w:divBdr>
    </w:div>
    <w:div w:id="1297419286">
      <w:bodyDiv w:val="1"/>
      <w:marLeft w:val="0"/>
      <w:marRight w:val="0"/>
      <w:marTop w:val="0"/>
      <w:marBottom w:val="0"/>
      <w:divBdr>
        <w:top w:val="none" w:sz="0" w:space="0" w:color="auto"/>
        <w:left w:val="none" w:sz="0" w:space="0" w:color="auto"/>
        <w:bottom w:val="none" w:sz="0" w:space="0" w:color="auto"/>
        <w:right w:val="none" w:sz="0" w:space="0" w:color="auto"/>
      </w:divBdr>
    </w:div>
    <w:div w:id="1321152121">
      <w:bodyDiv w:val="1"/>
      <w:marLeft w:val="0"/>
      <w:marRight w:val="0"/>
      <w:marTop w:val="0"/>
      <w:marBottom w:val="0"/>
      <w:divBdr>
        <w:top w:val="none" w:sz="0" w:space="0" w:color="auto"/>
        <w:left w:val="none" w:sz="0" w:space="0" w:color="auto"/>
        <w:bottom w:val="none" w:sz="0" w:space="0" w:color="auto"/>
        <w:right w:val="none" w:sz="0" w:space="0" w:color="auto"/>
      </w:divBdr>
    </w:div>
    <w:div w:id="1325620902">
      <w:bodyDiv w:val="1"/>
      <w:marLeft w:val="0"/>
      <w:marRight w:val="0"/>
      <w:marTop w:val="0"/>
      <w:marBottom w:val="0"/>
      <w:divBdr>
        <w:top w:val="none" w:sz="0" w:space="0" w:color="auto"/>
        <w:left w:val="none" w:sz="0" w:space="0" w:color="auto"/>
        <w:bottom w:val="none" w:sz="0" w:space="0" w:color="auto"/>
        <w:right w:val="none" w:sz="0" w:space="0" w:color="auto"/>
      </w:divBdr>
    </w:div>
    <w:div w:id="1350713415">
      <w:bodyDiv w:val="1"/>
      <w:marLeft w:val="0"/>
      <w:marRight w:val="0"/>
      <w:marTop w:val="0"/>
      <w:marBottom w:val="0"/>
      <w:divBdr>
        <w:top w:val="none" w:sz="0" w:space="0" w:color="auto"/>
        <w:left w:val="none" w:sz="0" w:space="0" w:color="auto"/>
        <w:bottom w:val="none" w:sz="0" w:space="0" w:color="auto"/>
        <w:right w:val="none" w:sz="0" w:space="0" w:color="auto"/>
      </w:divBdr>
    </w:div>
    <w:div w:id="1363822887">
      <w:bodyDiv w:val="1"/>
      <w:marLeft w:val="0"/>
      <w:marRight w:val="0"/>
      <w:marTop w:val="0"/>
      <w:marBottom w:val="0"/>
      <w:divBdr>
        <w:top w:val="none" w:sz="0" w:space="0" w:color="auto"/>
        <w:left w:val="none" w:sz="0" w:space="0" w:color="auto"/>
        <w:bottom w:val="none" w:sz="0" w:space="0" w:color="auto"/>
        <w:right w:val="none" w:sz="0" w:space="0" w:color="auto"/>
      </w:divBdr>
    </w:div>
    <w:div w:id="1385131982">
      <w:bodyDiv w:val="1"/>
      <w:marLeft w:val="0"/>
      <w:marRight w:val="0"/>
      <w:marTop w:val="0"/>
      <w:marBottom w:val="0"/>
      <w:divBdr>
        <w:top w:val="none" w:sz="0" w:space="0" w:color="auto"/>
        <w:left w:val="none" w:sz="0" w:space="0" w:color="auto"/>
        <w:bottom w:val="none" w:sz="0" w:space="0" w:color="auto"/>
        <w:right w:val="none" w:sz="0" w:space="0" w:color="auto"/>
      </w:divBdr>
    </w:div>
    <w:div w:id="1550460760">
      <w:bodyDiv w:val="1"/>
      <w:marLeft w:val="0"/>
      <w:marRight w:val="0"/>
      <w:marTop w:val="0"/>
      <w:marBottom w:val="0"/>
      <w:divBdr>
        <w:top w:val="none" w:sz="0" w:space="0" w:color="auto"/>
        <w:left w:val="none" w:sz="0" w:space="0" w:color="auto"/>
        <w:bottom w:val="none" w:sz="0" w:space="0" w:color="auto"/>
        <w:right w:val="none" w:sz="0" w:space="0" w:color="auto"/>
      </w:divBdr>
    </w:div>
    <w:div w:id="1621565932">
      <w:bodyDiv w:val="1"/>
      <w:marLeft w:val="0"/>
      <w:marRight w:val="0"/>
      <w:marTop w:val="0"/>
      <w:marBottom w:val="0"/>
      <w:divBdr>
        <w:top w:val="none" w:sz="0" w:space="0" w:color="auto"/>
        <w:left w:val="none" w:sz="0" w:space="0" w:color="auto"/>
        <w:bottom w:val="none" w:sz="0" w:space="0" w:color="auto"/>
        <w:right w:val="none" w:sz="0" w:space="0" w:color="auto"/>
      </w:divBdr>
    </w:div>
    <w:div w:id="1717583508">
      <w:bodyDiv w:val="1"/>
      <w:marLeft w:val="0"/>
      <w:marRight w:val="0"/>
      <w:marTop w:val="0"/>
      <w:marBottom w:val="0"/>
      <w:divBdr>
        <w:top w:val="none" w:sz="0" w:space="0" w:color="auto"/>
        <w:left w:val="none" w:sz="0" w:space="0" w:color="auto"/>
        <w:bottom w:val="none" w:sz="0" w:space="0" w:color="auto"/>
        <w:right w:val="none" w:sz="0" w:space="0" w:color="auto"/>
      </w:divBdr>
    </w:div>
    <w:div w:id="1739397252">
      <w:bodyDiv w:val="1"/>
      <w:marLeft w:val="0"/>
      <w:marRight w:val="0"/>
      <w:marTop w:val="0"/>
      <w:marBottom w:val="0"/>
      <w:divBdr>
        <w:top w:val="none" w:sz="0" w:space="0" w:color="auto"/>
        <w:left w:val="none" w:sz="0" w:space="0" w:color="auto"/>
        <w:bottom w:val="none" w:sz="0" w:space="0" w:color="auto"/>
        <w:right w:val="none" w:sz="0" w:space="0" w:color="auto"/>
      </w:divBdr>
    </w:div>
    <w:div w:id="1772625969">
      <w:bodyDiv w:val="1"/>
      <w:marLeft w:val="0"/>
      <w:marRight w:val="0"/>
      <w:marTop w:val="0"/>
      <w:marBottom w:val="0"/>
      <w:divBdr>
        <w:top w:val="none" w:sz="0" w:space="0" w:color="auto"/>
        <w:left w:val="none" w:sz="0" w:space="0" w:color="auto"/>
        <w:bottom w:val="none" w:sz="0" w:space="0" w:color="auto"/>
        <w:right w:val="none" w:sz="0" w:space="0" w:color="auto"/>
      </w:divBdr>
    </w:div>
    <w:div w:id="1817649519">
      <w:bodyDiv w:val="1"/>
      <w:marLeft w:val="0"/>
      <w:marRight w:val="0"/>
      <w:marTop w:val="0"/>
      <w:marBottom w:val="0"/>
      <w:divBdr>
        <w:top w:val="none" w:sz="0" w:space="0" w:color="auto"/>
        <w:left w:val="none" w:sz="0" w:space="0" w:color="auto"/>
        <w:bottom w:val="none" w:sz="0" w:space="0" w:color="auto"/>
        <w:right w:val="none" w:sz="0" w:space="0" w:color="auto"/>
      </w:divBdr>
    </w:div>
    <w:div w:id="1880893404">
      <w:bodyDiv w:val="1"/>
      <w:marLeft w:val="0"/>
      <w:marRight w:val="0"/>
      <w:marTop w:val="0"/>
      <w:marBottom w:val="0"/>
      <w:divBdr>
        <w:top w:val="none" w:sz="0" w:space="0" w:color="auto"/>
        <w:left w:val="none" w:sz="0" w:space="0" w:color="auto"/>
        <w:bottom w:val="none" w:sz="0" w:space="0" w:color="auto"/>
        <w:right w:val="none" w:sz="0" w:space="0" w:color="auto"/>
      </w:divBdr>
    </w:div>
    <w:div w:id="1930195945">
      <w:bodyDiv w:val="1"/>
      <w:marLeft w:val="0"/>
      <w:marRight w:val="0"/>
      <w:marTop w:val="0"/>
      <w:marBottom w:val="0"/>
      <w:divBdr>
        <w:top w:val="none" w:sz="0" w:space="0" w:color="auto"/>
        <w:left w:val="none" w:sz="0" w:space="0" w:color="auto"/>
        <w:bottom w:val="none" w:sz="0" w:space="0" w:color="auto"/>
        <w:right w:val="none" w:sz="0" w:space="0" w:color="auto"/>
      </w:divBdr>
    </w:div>
    <w:div w:id="2066295789">
      <w:bodyDiv w:val="1"/>
      <w:marLeft w:val="0"/>
      <w:marRight w:val="0"/>
      <w:marTop w:val="0"/>
      <w:marBottom w:val="0"/>
      <w:divBdr>
        <w:top w:val="none" w:sz="0" w:space="0" w:color="auto"/>
        <w:left w:val="none" w:sz="0" w:space="0" w:color="auto"/>
        <w:bottom w:val="none" w:sz="0" w:space="0" w:color="auto"/>
        <w:right w:val="none" w:sz="0" w:space="0" w:color="auto"/>
      </w:divBdr>
    </w:div>
    <w:div w:id="2097822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hyperlink" Target="https://doi.org/10.1093/ijlit/eaaa002" TargetMode="Externa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hyperlink" Target="https://doi.org/10.6028/NIST.CSWP.0416201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hyperlink" Target="https://www.gartner.com/" TargetMode="External"/><Relationship Id="rId5" Type="http://schemas.openxmlformats.org/officeDocument/2006/relationships/chart" Target="charts/chart1.xml"/><Relationship Id="rId15" Type="http://schemas.openxmlformats.org/officeDocument/2006/relationships/theme" Target="theme/theme1.xml"/><Relationship Id="rId10" Type="http://schemas.openxmlformats.org/officeDocument/2006/relationships/hyperlink" Target="https://en.m.wikipedia.org/wiki/Colonial_Pipeline_ransomware_attack" TargetMode="External"/><Relationship Id="rId4" Type="http://schemas.openxmlformats.org/officeDocument/2006/relationships/webSettings" Target="webSettings.xml"/><Relationship Id="rId9" Type="http://schemas.openxmlformats.org/officeDocument/2006/relationships/hyperlink" Target="https://doi.org/10.1016/j.cose.2020.102003" TargetMode="Externa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ocuments\GRC%20Course\GRC%20102\ASSIGNMENT\security_incidents_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ocuments\GRC%20Course\GRC%20102\ASSIGNMENT\security_incidents_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Documents\GRC%20Course\GRC%20102\ASSIGNMENT\security_incidents_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ser\Documents\GRC%20Course\GRC%20102\ASSIGNMENT\security_incidents_data.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[security_incidents_data.xlsx]Sheet3!PivotTable2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100"/>
              <a:t>Distibution of Incident by Incident Type</a:t>
            </a:r>
          </a:p>
        </c:rich>
      </c:tx>
      <c:layout>
        <c:manualLayout>
          <c:xMode val="edge"/>
          <c:yMode val="edge"/>
          <c:x val="0.2175693350831146"/>
          <c:y val="7.305336832895889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Sheet3!$B$3</c:f>
              <c:strCache>
                <c:ptCount val="1"/>
                <c:pt idx="0">
                  <c:v>Total</c:v>
                </c:pt>
              </c:strCache>
            </c:strRef>
          </c:tx>
          <c:spPr>
            <a:solidFill>
              <a:schemeClr val="accent1"/>
            </a:solidFill>
            <a:ln>
              <a:noFill/>
            </a:ln>
            <a:effectLst/>
            <a:sp3d/>
          </c:spPr>
          <c:invertIfNegative val="0"/>
          <c:cat>
            <c:strRef>
              <c:f>Sheet3!$A$4:$A$10</c:f>
              <c:strCache>
                <c:ptCount val="6"/>
                <c:pt idx="0">
                  <c:v>Data Leak</c:v>
                </c:pt>
                <c:pt idx="1">
                  <c:v>DDoS</c:v>
                </c:pt>
                <c:pt idx="2">
                  <c:v>Malware</c:v>
                </c:pt>
                <c:pt idx="3">
                  <c:v>Misconfiguration</c:v>
                </c:pt>
                <c:pt idx="4">
                  <c:v>Phishing</c:v>
                </c:pt>
                <c:pt idx="5">
                  <c:v>Unauthorized Access</c:v>
                </c:pt>
              </c:strCache>
            </c:strRef>
          </c:cat>
          <c:val>
            <c:numRef>
              <c:f>Sheet3!$B$4:$B$10</c:f>
              <c:numCache>
                <c:formatCode>General</c:formatCode>
                <c:ptCount val="6"/>
                <c:pt idx="0">
                  <c:v>20</c:v>
                </c:pt>
                <c:pt idx="1">
                  <c:v>15</c:v>
                </c:pt>
                <c:pt idx="2">
                  <c:v>19</c:v>
                </c:pt>
                <c:pt idx="3">
                  <c:v>10</c:v>
                </c:pt>
                <c:pt idx="4">
                  <c:v>16</c:v>
                </c:pt>
                <c:pt idx="5">
                  <c:v>20</c:v>
                </c:pt>
              </c:numCache>
            </c:numRef>
          </c:val>
          <c:extLst>
            <c:ext xmlns:c16="http://schemas.microsoft.com/office/drawing/2014/chart" uri="{C3380CC4-5D6E-409C-BE32-E72D297353CC}">
              <c16:uniqueId val="{00000000-C6E6-4861-BEF9-D0C65F736353}"/>
            </c:ext>
          </c:extLst>
        </c:ser>
        <c:dLbls>
          <c:showLegendKey val="0"/>
          <c:showVal val="0"/>
          <c:showCatName val="0"/>
          <c:showSerName val="0"/>
          <c:showPercent val="0"/>
          <c:showBubbleSize val="0"/>
        </c:dLbls>
        <c:gapWidth val="150"/>
        <c:shape val="box"/>
        <c:axId val="1762866896"/>
        <c:axId val="1762868336"/>
        <c:axId val="0"/>
      </c:bar3DChart>
      <c:catAx>
        <c:axId val="176286689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Incident Type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62868336"/>
        <c:crosses val="autoZero"/>
        <c:auto val="1"/>
        <c:lblAlgn val="ctr"/>
        <c:lblOffset val="100"/>
        <c:noMultiLvlLbl val="0"/>
      </c:catAx>
      <c:valAx>
        <c:axId val="176286833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Count of Incident_Type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6286689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[security_incidents_data.xlsx]Sheet7!PivotTable6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Average_Resolution_Time_Days</a:t>
            </a:r>
            <a:r>
              <a:rPr lang="en-GB" baseline="0"/>
              <a:t> by Severity</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Sheet7!$B$3</c:f>
              <c:strCache>
                <c:ptCount val="1"/>
                <c:pt idx="0">
                  <c:v>Total</c:v>
                </c:pt>
              </c:strCache>
            </c:strRef>
          </c:tx>
          <c:spPr>
            <a:solidFill>
              <a:schemeClr val="accent1"/>
            </a:solidFill>
            <a:ln>
              <a:noFill/>
            </a:ln>
            <a:effectLst/>
          </c:spPr>
          <c:invertIfNegative val="0"/>
          <c:cat>
            <c:strRef>
              <c:f>Sheet7!$A$4:$A$8</c:f>
              <c:strCache>
                <c:ptCount val="4"/>
                <c:pt idx="0">
                  <c:v>Critical</c:v>
                </c:pt>
                <c:pt idx="1">
                  <c:v>High</c:v>
                </c:pt>
                <c:pt idx="2">
                  <c:v>Low</c:v>
                </c:pt>
                <c:pt idx="3">
                  <c:v>Medium</c:v>
                </c:pt>
              </c:strCache>
            </c:strRef>
          </c:cat>
          <c:val>
            <c:numRef>
              <c:f>Sheet7!$B$4:$B$8</c:f>
              <c:numCache>
                <c:formatCode>0.0</c:formatCode>
                <c:ptCount val="4"/>
                <c:pt idx="0">
                  <c:v>13.916666666666666</c:v>
                </c:pt>
                <c:pt idx="1">
                  <c:v>15.766666666666667</c:v>
                </c:pt>
                <c:pt idx="2">
                  <c:v>13.294117647058824</c:v>
                </c:pt>
                <c:pt idx="3">
                  <c:v>15.975</c:v>
                </c:pt>
              </c:numCache>
            </c:numRef>
          </c:val>
          <c:extLst>
            <c:ext xmlns:c16="http://schemas.microsoft.com/office/drawing/2014/chart" uri="{C3380CC4-5D6E-409C-BE32-E72D297353CC}">
              <c16:uniqueId val="{00000000-3368-4D94-8F71-0C5FF4614B69}"/>
            </c:ext>
          </c:extLst>
        </c:ser>
        <c:dLbls>
          <c:showLegendKey val="0"/>
          <c:showVal val="0"/>
          <c:showCatName val="0"/>
          <c:showSerName val="0"/>
          <c:showPercent val="0"/>
          <c:showBubbleSize val="0"/>
        </c:dLbls>
        <c:gapWidth val="219"/>
        <c:overlap val="-27"/>
        <c:axId val="1952865312"/>
        <c:axId val="1952860032"/>
      </c:barChart>
      <c:catAx>
        <c:axId val="19528653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Severity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2860032"/>
        <c:crosses val="autoZero"/>
        <c:auto val="1"/>
        <c:lblAlgn val="ctr"/>
        <c:lblOffset val="100"/>
        <c:noMultiLvlLbl val="0"/>
      </c:catAx>
      <c:valAx>
        <c:axId val="19528600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a:t>Sun of Average_Resolution_Time_Days</a:t>
                </a:r>
              </a:p>
            </c:rich>
          </c:tx>
          <c:layout>
            <c:manualLayout>
              <c:xMode val="edge"/>
              <c:yMode val="edge"/>
              <c:x val="1.9444444444444445E-2"/>
              <c:y val="0.2030996646252551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286531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[security_incidents_data.xlsx]Sheet5!PivotTable4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050"/>
              <a:t>Cost Impact by Department &amp;</a:t>
            </a:r>
            <a:r>
              <a:rPr lang="en-GB" sz="1050" baseline="0"/>
              <a:t> Responsible Team</a:t>
            </a:r>
            <a:endParaRPr lang="en-GB" sz="1050"/>
          </a:p>
        </c:rich>
      </c:tx>
      <c:layout>
        <c:manualLayout>
          <c:xMode val="edge"/>
          <c:yMode val="edge"/>
          <c:x val="0.24060647029614143"/>
          <c:y val="5.978244545044948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Sheet5!$B$3:$B$4</c:f>
              <c:strCache>
                <c:ptCount val="1"/>
                <c:pt idx="0">
                  <c:v>Compliance</c:v>
                </c:pt>
              </c:strCache>
            </c:strRef>
          </c:tx>
          <c:spPr>
            <a:solidFill>
              <a:schemeClr val="accent1"/>
            </a:solidFill>
            <a:ln>
              <a:noFill/>
            </a:ln>
            <a:effectLst/>
          </c:spPr>
          <c:invertIfNegative val="0"/>
          <c:cat>
            <c:strRef>
              <c:f>Sheet5!$A$5:$A$10</c:f>
              <c:strCache>
                <c:ptCount val="5"/>
                <c:pt idx="0">
                  <c:v>Finance</c:v>
                </c:pt>
                <c:pt idx="1">
                  <c:v>HR</c:v>
                </c:pt>
                <c:pt idx="2">
                  <c:v>IT</c:v>
                </c:pt>
                <c:pt idx="3">
                  <c:v>Legal</c:v>
                </c:pt>
                <c:pt idx="4">
                  <c:v>Operations</c:v>
                </c:pt>
              </c:strCache>
            </c:strRef>
          </c:cat>
          <c:val>
            <c:numRef>
              <c:f>Sheet5!$B$5:$B$10</c:f>
              <c:numCache>
                <c:formatCode>General</c:formatCode>
                <c:ptCount val="5"/>
                <c:pt idx="0">
                  <c:v>590927</c:v>
                </c:pt>
                <c:pt idx="1">
                  <c:v>193731</c:v>
                </c:pt>
                <c:pt idx="2">
                  <c:v>249581</c:v>
                </c:pt>
                <c:pt idx="3">
                  <c:v>490686</c:v>
                </c:pt>
                <c:pt idx="4">
                  <c:v>191374</c:v>
                </c:pt>
              </c:numCache>
            </c:numRef>
          </c:val>
          <c:extLst>
            <c:ext xmlns:c16="http://schemas.microsoft.com/office/drawing/2014/chart" uri="{C3380CC4-5D6E-409C-BE32-E72D297353CC}">
              <c16:uniqueId val="{00000000-FA22-4AD5-B761-514C6D95A139}"/>
            </c:ext>
          </c:extLst>
        </c:ser>
        <c:ser>
          <c:idx val="1"/>
          <c:order val="1"/>
          <c:tx>
            <c:strRef>
              <c:f>Sheet5!$C$3:$C$4</c:f>
              <c:strCache>
                <c:ptCount val="1"/>
                <c:pt idx="0">
                  <c:v>DevOps</c:v>
                </c:pt>
              </c:strCache>
            </c:strRef>
          </c:tx>
          <c:spPr>
            <a:solidFill>
              <a:schemeClr val="accent2"/>
            </a:solidFill>
            <a:ln>
              <a:noFill/>
            </a:ln>
            <a:effectLst/>
          </c:spPr>
          <c:invertIfNegative val="0"/>
          <c:cat>
            <c:strRef>
              <c:f>Sheet5!$A$5:$A$10</c:f>
              <c:strCache>
                <c:ptCount val="5"/>
                <c:pt idx="0">
                  <c:v>Finance</c:v>
                </c:pt>
                <c:pt idx="1">
                  <c:v>HR</c:v>
                </c:pt>
                <c:pt idx="2">
                  <c:v>IT</c:v>
                </c:pt>
                <c:pt idx="3">
                  <c:v>Legal</c:v>
                </c:pt>
                <c:pt idx="4">
                  <c:v>Operations</c:v>
                </c:pt>
              </c:strCache>
            </c:strRef>
          </c:cat>
          <c:val>
            <c:numRef>
              <c:f>Sheet5!$C$5:$C$10</c:f>
              <c:numCache>
                <c:formatCode>General</c:formatCode>
                <c:ptCount val="5"/>
                <c:pt idx="0">
                  <c:v>228778</c:v>
                </c:pt>
                <c:pt idx="1">
                  <c:v>237920</c:v>
                </c:pt>
                <c:pt idx="2">
                  <c:v>333607</c:v>
                </c:pt>
                <c:pt idx="3">
                  <c:v>299985</c:v>
                </c:pt>
                <c:pt idx="4">
                  <c:v>219916</c:v>
                </c:pt>
              </c:numCache>
            </c:numRef>
          </c:val>
          <c:extLst>
            <c:ext xmlns:c16="http://schemas.microsoft.com/office/drawing/2014/chart" uri="{C3380CC4-5D6E-409C-BE32-E72D297353CC}">
              <c16:uniqueId val="{00000001-FA22-4AD5-B761-514C6D95A139}"/>
            </c:ext>
          </c:extLst>
        </c:ser>
        <c:ser>
          <c:idx val="2"/>
          <c:order val="2"/>
          <c:tx>
            <c:strRef>
              <c:f>Sheet5!$D$3:$D$4</c:f>
              <c:strCache>
                <c:ptCount val="1"/>
                <c:pt idx="0">
                  <c:v>IT Security</c:v>
                </c:pt>
              </c:strCache>
            </c:strRef>
          </c:tx>
          <c:spPr>
            <a:solidFill>
              <a:schemeClr val="accent3"/>
            </a:solidFill>
            <a:ln>
              <a:noFill/>
            </a:ln>
            <a:effectLst/>
          </c:spPr>
          <c:invertIfNegative val="0"/>
          <c:cat>
            <c:strRef>
              <c:f>Sheet5!$A$5:$A$10</c:f>
              <c:strCache>
                <c:ptCount val="5"/>
                <c:pt idx="0">
                  <c:v>Finance</c:v>
                </c:pt>
                <c:pt idx="1">
                  <c:v>HR</c:v>
                </c:pt>
                <c:pt idx="2">
                  <c:v>IT</c:v>
                </c:pt>
                <c:pt idx="3">
                  <c:v>Legal</c:v>
                </c:pt>
                <c:pt idx="4">
                  <c:v>Operations</c:v>
                </c:pt>
              </c:strCache>
            </c:strRef>
          </c:cat>
          <c:val>
            <c:numRef>
              <c:f>Sheet5!$D$5:$D$10</c:f>
              <c:numCache>
                <c:formatCode>General</c:formatCode>
                <c:ptCount val="5"/>
                <c:pt idx="0">
                  <c:v>329030</c:v>
                </c:pt>
                <c:pt idx="1">
                  <c:v>319030</c:v>
                </c:pt>
                <c:pt idx="2">
                  <c:v>267515</c:v>
                </c:pt>
                <c:pt idx="3">
                  <c:v>306203</c:v>
                </c:pt>
                <c:pt idx="4">
                  <c:v>130195</c:v>
                </c:pt>
              </c:numCache>
            </c:numRef>
          </c:val>
          <c:extLst>
            <c:ext xmlns:c16="http://schemas.microsoft.com/office/drawing/2014/chart" uri="{C3380CC4-5D6E-409C-BE32-E72D297353CC}">
              <c16:uniqueId val="{00000002-FA22-4AD5-B761-514C6D95A139}"/>
            </c:ext>
          </c:extLst>
        </c:ser>
        <c:ser>
          <c:idx val="3"/>
          <c:order val="3"/>
          <c:tx>
            <c:strRef>
              <c:f>Sheet5!$E$3:$E$4</c:f>
              <c:strCache>
                <c:ptCount val="1"/>
                <c:pt idx="0">
                  <c:v>SOC</c:v>
                </c:pt>
              </c:strCache>
            </c:strRef>
          </c:tx>
          <c:spPr>
            <a:solidFill>
              <a:schemeClr val="accent4"/>
            </a:solidFill>
            <a:ln>
              <a:noFill/>
            </a:ln>
            <a:effectLst/>
          </c:spPr>
          <c:invertIfNegative val="0"/>
          <c:cat>
            <c:strRef>
              <c:f>Sheet5!$A$5:$A$10</c:f>
              <c:strCache>
                <c:ptCount val="5"/>
                <c:pt idx="0">
                  <c:v>Finance</c:v>
                </c:pt>
                <c:pt idx="1">
                  <c:v>HR</c:v>
                </c:pt>
                <c:pt idx="2">
                  <c:v>IT</c:v>
                </c:pt>
                <c:pt idx="3">
                  <c:v>Legal</c:v>
                </c:pt>
                <c:pt idx="4">
                  <c:v>Operations</c:v>
                </c:pt>
              </c:strCache>
            </c:strRef>
          </c:cat>
          <c:val>
            <c:numRef>
              <c:f>Sheet5!$E$5:$E$10</c:f>
              <c:numCache>
                <c:formatCode>General</c:formatCode>
                <c:ptCount val="5"/>
                <c:pt idx="0">
                  <c:v>222197</c:v>
                </c:pt>
                <c:pt idx="1">
                  <c:v>128521</c:v>
                </c:pt>
                <c:pt idx="2">
                  <c:v>262962</c:v>
                </c:pt>
                <c:pt idx="3">
                  <c:v>105740</c:v>
                </c:pt>
                <c:pt idx="4">
                  <c:v>226084</c:v>
                </c:pt>
              </c:numCache>
            </c:numRef>
          </c:val>
          <c:extLst>
            <c:ext xmlns:c16="http://schemas.microsoft.com/office/drawing/2014/chart" uri="{C3380CC4-5D6E-409C-BE32-E72D297353CC}">
              <c16:uniqueId val="{00000003-FA22-4AD5-B761-514C6D95A139}"/>
            </c:ext>
          </c:extLst>
        </c:ser>
        <c:dLbls>
          <c:showLegendKey val="0"/>
          <c:showVal val="0"/>
          <c:showCatName val="0"/>
          <c:showSerName val="0"/>
          <c:showPercent val="0"/>
          <c:showBubbleSize val="0"/>
        </c:dLbls>
        <c:gapWidth val="219"/>
        <c:overlap val="-27"/>
        <c:axId val="1789199264"/>
        <c:axId val="1789200224"/>
      </c:barChart>
      <c:catAx>
        <c:axId val="17891992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Department</a:t>
                </a:r>
              </a:p>
            </c:rich>
          </c:tx>
          <c:layout>
            <c:manualLayout>
              <c:xMode val="edge"/>
              <c:yMode val="edge"/>
              <c:x val="0.32857832426119155"/>
              <c:y val="0.8657604603045788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9200224"/>
        <c:crosses val="autoZero"/>
        <c:auto val="1"/>
        <c:lblAlgn val="ctr"/>
        <c:lblOffset val="100"/>
        <c:noMultiLvlLbl val="0"/>
      </c:catAx>
      <c:valAx>
        <c:axId val="17892002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a:t>Cost_Impact_USD</a:t>
                </a:r>
              </a:p>
            </c:rich>
          </c:tx>
          <c:layout>
            <c:manualLayout>
              <c:xMode val="edge"/>
              <c:yMode val="edge"/>
              <c:x val="1.3888888888888888E-2"/>
              <c:y val="0.2739774715660542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919926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[security_incidents_data.xlsx]Sheet6!PivotTable5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Status Distribution</a:t>
            </a:r>
          </a:p>
        </c:rich>
      </c:tx>
      <c:layout>
        <c:manualLayout>
          <c:xMode val="edge"/>
          <c:yMode val="edge"/>
          <c:x val="0.32290966754155731"/>
          <c:y val="8.694225721784776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s>
    <c:plotArea>
      <c:layout/>
      <c:pieChart>
        <c:varyColors val="1"/>
        <c:ser>
          <c:idx val="0"/>
          <c:order val="0"/>
          <c:tx>
            <c:strRef>
              <c:f>Sheet6!$B$3</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A34-4689-BD39-82E3CE4DF92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A34-4689-BD39-82E3CE4DF92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A34-4689-BD39-82E3CE4DF924}"/>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AA34-4689-BD39-82E3CE4DF924}"/>
              </c:ext>
            </c:extLst>
          </c:dPt>
          <c:cat>
            <c:strRef>
              <c:f>Sheet6!$A$4:$A$8</c:f>
              <c:strCache>
                <c:ptCount val="4"/>
                <c:pt idx="0">
                  <c:v>Closed</c:v>
                </c:pt>
                <c:pt idx="1">
                  <c:v>In Progress</c:v>
                </c:pt>
                <c:pt idx="2">
                  <c:v>On Hold</c:v>
                </c:pt>
                <c:pt idx="3">
                  <c:v>Open</c:v>
                </c:pt>
              </c:strCache>
            </c:strRef>
          </c:cat>
          <c:val>
            <c:numRef>
              <c:f>Sheet6!$B$4:$B$8</c:f>
              <c:numCache>
                <c:formatCode>General</c:formatCode>
                <c:ptCount val="4"/>
                <c:pt idx="0">
                  <c:v>60</c:v>
                </c:pt>
                <c:pt idx="1">
                  <c:v>14</c:v>
                </c:pt>
                <c:pt idx="2">
                  <c:v>9</c:v>
                </c:pt>
                <c:pt idx="3">
                  <c:v>17</c:v>
                </c:pt>
              </c:numCache>
            </c:numRef>
          </c:val>
          <c:extLst>
            <c:ext xmlns:c16="http://schemas.microsoft.com/office/drawing/2014/chart" uri="{C3380CC4-5D6E-409C-BE32-E72D297353CC}">
              <c16:uniqueId val="{00000008-AA34-4689-BD39-82E3CE4DF924}"/>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8</Pages>
  <Words>1704</Words>
  <Characters>9717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Oluwatimilehin Oluwagbemi</cp:lastModifiedBy>
  <cp:revision>35</cp:revision>
  <dcterms:created xsi:type="dcterms:W3CDTF">2025-09-04T11:08:00Z</dcterms:created>
  <dcterms:modified xsi:type="dcterms:W3CDTF">2025-09-07T15:55:00Z</dcterms:modified>
</cp:coreProperties>
</file>