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094B" w14:textId="77777777" w:rsidR="00511EA7" w:rsidRPr="00511EA7" w:rsidRDefault="00511EA7" w:rsidP="00511EA7">
      <w:r w:rsidRPr="00511EA7">
        <w:t xml:space="preserve">Here’s a clear summary of the main points from the document you’re viewing (the </w:t>
      </w:r>
      <w:proofErr w:type="spellStart"/>
      <w:r w:rsidRPr="00511EA7">
        <w:rPr>
          <w:b/>
          <w:bCs/>
        </w:rPr>
        <w:t>GlobalSync</w:t>
      </w:r>
      <w:proofErr w:type="spellEnd"/>
      <w:r w:rsidRPr="00511EA7">
        <w:rPr>
          <w:b/>
          <w:bCs/>
        </w:rPr>
        <w:t xml:space="preserve"> Inc. Compliance Crisis exercise</w:t>
      </w:r>
      <w:r w:rsidRPr="00511EA7">
        <w:t>):</w:t>
      </w:r>
    </w:p>
    <w:p w14:paraId="02587BC9" w14:textId="77777777" w:rsidR="00511EA7" w:rsidRPr="00511EA7" w:rsidRDefault="00511EA7" w:rsidP="00511EA7">
      <w:r w:rsidRPr="00511EA7">
        <w:pict w14:anchorId="6DE2CD38">
          <v:rect id="_x0000_i1061" style="width:0;height:1.5pt" o:hralign="center" o:hrstd="t" o:hr="t" fillcolor="#a0a0a0" stroked="f"/>
        </w:pict>
      </w:r>
    </w:p>
    <w:p w14:paraId="1791731D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Emoji" w:hAnsi="Segoe UI Emoji" w:cs="Segoe UI Emoji"/>
          <w:b/>
          <w:bCs/>
        </w:rPr>
        <w:t>🌍</w:t>
      </w:r>
      <w:r w:rsidRPr="00511EA7">
        <w:rPr>
          <w:b/>
          <w:bCs/>
        </w:rPr>
        <w:t xml:space="preserve"> Scenario Overview</w:t>
      </w:r>
    </w:p>
    <w:p w14:paraId="41F9CFA4" w14:textId="77777777" w:rsidR="00511EA7" w:rsidRPr="00511EA7" w:rsidRDefault="00511EA7" w:rsidP="00511EA7">
      <w:pPr>
        <w:numPr>
          <w:ilvl w:val="0"/>
          <w:numId w:val="1"/>
        </w:numPr>
      </w:pPr>
      <w:r w:rsidRPr="00511EA7">
        <w:t xml:space="preserve">You are the newly appointed </w:t>
      </w:r>
      <w:r w:rsidRPr="00511EA7">
        <w:rPr>
          <w:b/>
          <w:bCs/>
        </w:rPr>
        <w:t>Chief Compliance Officer (CCO)</w:t>
      </w:r>
      <w:r w:rsidRPr="00511EA7">
        <w:t xml:space="preserve"> at </w:t>
      </w:r>
      <w:proofErr w:type="spellStart"/>
      <w:r w:rsidRPr="00511EA7">
        <w:t>GlobalSync</w:t>
      </w:r>
      <w:proofErr w:type="spellEnd"/>
      <w:r w:rsidRPr="00511EA7">
        <w:t xml:space="preserve"> Inc., a multinational tech company.</w:t>
      </w:r>
    </w:p>
    <w:p w14:paraId="279FA896" w14:textId="77777777" w:rsidR="00511EA7" w:rsidRPr="00511EA7" w:rsidRDefault="00511EA7" w:rsidP="00511EA7">
      <w:pPr>
        <w:numPr>
          <w:ilvl w:val="0"/>
          <w:numId w:val="1"/>
        </w:numPr>
      </w:pPr>
      <w:r w:rsidRPr="00511EA7">
        <w:t xml:space="preserve">The company faces </w:t>
      </w:r>
      <w:r w:rsidRPr="00511EA7">
        <w:rPr>
          <w:b/>
          <w:bCs/>
        </w:rPr>
        <w:t>serious compliance failures</w:t>
      </w:r>
      <w:r w:rsidRPr="00511EA7">
        <w:t xml:space="preserve"> flagged by a whistleblower.</w:t>
      </w:r>
    </w:p>
    <w:p w14:paraId="33134C73" w14:textId="77777777" w:rsidR="00511EA7" w:rsidRPr="00511EA7" w:rsidRDefault="00511EA7" w:rsidP="00511EA7">
      <w:pPr>
        <w:numPr>
          <w:ilvl w:val="0"/>
          <w:numId w:val="1"/>
        </w:numPr>
      </w:pPr>
      <w:r w:rsidRPr="00511EA7">
        <w:t xml:space="preserve">A major </w:t>
      </w:r>
      <w:r w:rsidRPr="00511EA7">
        <w:rPr>
          <w:b/>
          <w:bCs/>
        </w:rPr>
        <w:t>merger with a European company</w:t>
      </w:r>
      <w:r w:rsidRPr="00511EA7">
        <w:t xml:space="preserve"> is at risk if issues aren’t resolved.</w:t>
      </w:r>
    </w:p>
    <w:p w14:paraId="066895F9" w14:textId="77777777" w:rsidR="00511EA7" w:rsidRPr="00511EA7" w:rsidRDefault="00511EA7" w:rsidP="00511EA7">
      <w:r w:rsidRPr="00511EA7">
        <w:pict w14:anchorId="30E7C545">
          <v:rect id="_x0000_i1062" style="width:0;height:1.5pt" o:hralign="center" o:hrstd="t" o:hr="t" fillcolor="#a0a0a0" stroked="f"/>
        </w:pict>
      </w:r>
    </w:p>
    <w:p w14:paraId="754E1BCA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Symbol" w:hAnsi="Segoe UI Symbol" w:cs="Segoe UI Symbol"/>
          <w:b/>
          <w:bCs/>
        </w:rPr>
        <w:t>⚠</w:t>
      </w:r>
      <w:r w:rsidRPr="00511EA7">
        <w:rPr>
          <w:b/>
          <w:bCs/>
        </w:rPr>
        <w:t>️ Part 1: Initial Discovery &amp; Risk Triage</w:t>
      </w:r>
    </w:p>
    <w:p w14:paraId="508D0646" w14:textId="77777777" w:rsidR="00511EA7" w:rsidRPr="00511EA7" w:rsidRDefault="00511EA7" w:rsidP="00511EA7">
      <w:pPr>
        <w:numPr>
          <w:ilvl w:val="0"/>
          <w:numId w:val="2"/>
        </w:numPr>
      </w:pPr>
      <w:r w:rsidRPr="00511EA7">
        <w:rPr>
          <w:b/>
          <w:bCs/>
        </w:rPr>
        <w:t>Allegation A:</w:t>
      </w:r>
      <w:r w:rsidRPr="00511EA7">
        <w:t xml:space="preserve"> Improper EU–US data transfers (GDPR risk).</w:t>
      </w:r>
    </w:p>
    <w:p w14:paraId="4D3688DD" w14:textId="77777777" w:rsidR="00511EA7" w:rsidRPr="00511EA7" w:rsidRDefault="00511EA7" w:rsidP="00511EA7">
      <w:pPr>
        <w:numPr>
          <w:ilvl w:val="0"/>
          <w:numId w:val="2"/>
        </w:numPr>
      </w:pPr>
      <w:r w:rsidRPr="00511EA7">
        <w:rPr>
          <w:b/>
          <w:bCs/>
        </w:rPr>
        <w:t>Allegation B:</w:t>
      </w:r>
      <w:r w:rsidRPr="00511EA7">
        <w:t xml:space="preserve"> Bribery/incentives in Brazil (FCPA risk).</w:t>
      </w:r>
    </w:p>
    <w:p w14:paraId="402D7388" w14:textId="77777777" w:rsidR="00511EA7" w:rsidRPr="00511EA7" w:rsidRDefault="00511EA7" w:rsidP="00511EA7">
      <w:pPr>
        <w:numPr>
          <w:ilvl w:val="0"/>
          <w:numId w:val="2"/>
        </w:numPr>
      </w:pPr>
      <w:r w:rsidRPr="00511EA7">
        <w:rPr>
          <w:b/>
          <w:bCs/>
        </w:rPr>
        <w:t>Allegation C:</w:t>
      </w:r>
      <w:r w:rsidRPr="00511EA7">
        <w:t xml:space="preserve"> No formal process for data deletion requests (GDPR/CCPA risk).</w:t>
      </w:r>
    </w:p>
    <w:p w14:paraId="2AB5FBCE" w14:textId="77777777" w:rsidR="00511EA7" w:rsidRPr="00511EA7" w:rsidRDefault="00511EA7" w:rsidP="00511EA7">
      <w:pPr>
        <w:numPr>
          <w:ilvl w:val="0"/>
          <w:numId w:val="2"/>
        </w:numPr>
      </w:pPr>
      <w:r w:rsidRPr="00511EA7">
        <w:rPr>
          <w:b/>
          <w:bCs/>
        </w:rPr>
        <w:t>Allegation D:</w:t>
      </w:r>
      <w:r w:rsidRPr="00511EA7">
        <w:t xml:space="preserve"> Weak financial reporting controls (SOX risk).</w:t>
      </w:r>
    </w:p>
    <w:p w14:paraId="2289C7AF" w14:textId="77777777" w:rsidR="00511EA7" w:rsidRPr="00511EA7" w:rsidRDefault="00511EA7" w:rsidP="00511EA7">
      <w:pPr>
        <w:numPr>
          <w:ilvl w:val="0"/>
          <w:numId w:val="2"/>
        </w:numPr>
      </w:pPr>
      <w:r w:rsidRPr="00511EA7">
        <w:t>Each allegation requires identifying the regulation, legal implications, and whether it’s intentional/systemic.</w:t>
      </w:r>
    </w:p>
    <w:p w14:paraId="1ABE40BF" w14:textId="77777777" w:rsidR="00511EA7" w:rsidRPr="00511EA7" w:rsidRDefault="00511EA7" w:rsidP="00511EA7">
      <w:r w:rsidRPr="00511EA7">
        <w:pict w14:anchorId="4687BF82">
          <v:rect id="_x0000_i1063" style="width:0;height:1.5pt" o:hralign="center" o:hrstd="t" o:hr="t" fillcolor="#a0a0a0" stroked="f"/>
        </w:pict>
      </w:r>
    </w:p>
    <w:p w14:paraId="0FC68D65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Emoji" w:hAnsi="Segoe UI Emoji" w:cs="Segoe UI Emoji"/>
          <w:b/>
          <w:bCs/>
        </w:rPr>
        <w:t>📊</w:t>
      </w:r>
      <w:r w:rsidRPr="00511EA7">
        <w:rPr>
          <w:b/>
          <w:bCs/>
        </w:rPr>
        <w:t xml:space="preserve"> Part 2: Compliance Audit Deep Dive</w:t>
      </w:r>
    </w:p>
    <w:p w14:paraId="4F2B2366" w14:textId="77777777" w:rsidR="00511EA7" w:rsidRPr="00511EA7" w:rsidRDefault="00511EA7" w:rsidP="00511EA7">
      <w:pPr>
        <w:numPr>
          <w:ilvl w:val="0"/>
          <w:numId w:val="3"/>
        </w:numPr>
      </w:pPr>
      <w:r w:rsidRPr="00511EA7">
        <w:rPr>
          <w:b/>
          <w:bCs/>
        </w:rPr>
        <w:t>Scope:</w:t>
      </w:r>
      <w:r w:rsidRPr="00511EA7">
        <w:t xml:space="preserve"> Focus on data flows, sales practices, financial controls, and customer data handling.</w:t>
      </w:r>
    </w:p>
    <w:p w14:paraId="44F9D360" w14:textId="77777777" w:rsidR="00511EA7" w:rsidRPr="00511EA7" w:rsidRDefault="00511EA7" w:rsidP="00511EA7">
      <w:pPr>
        <w:numPr>
          <w:ilvl w:val="0"/>
          <w:numId w:val="3"/>
        </w:numPr>
      </w:pPr>
      <w:r w:rsidRPr="00511EA7">
        <w:rPr>
          <w:b/>
          <w:bCs/>
        </w:rPr>
        <w:t>Evidence Gathering:</w:t>
      </w:r>
      <w:r w:rsidRPr="00511EA7">
        <w:t xml:space="preserve"> For EU–US transfers, review contracts, policies, and system logs; interview IT, legal, and compliance staff; test transfer mechanisms.</w:t>
      </w:r>
    </w:p>
    <w:p w14:paraId="3F2EE31D" w14:textId="77777777" w:rsidR="00511EA7" w:rsidRPr="00511EA7" w:rsidRDefault="00511EA7" w:rsidP="00511EA7">
      <w:pPr>
        <w:numPr>
          <w:ilvl w:val="0"/>
          <w:numId w:val="3"/>
        </w:numPr>
      </w:pPr>
      <w:r w:rsidRPr="00511EA7">
        <w:rPr>
          <w:b/>
          <w:bCs/>
        </w:rPr>
        <w:t>Audit Finding Example (Allegation C):</w:t>
      </w:r>
      <w:r w:rsidRPr="00511EA7">
        <w:t xml:space="preserve"> </w:t>
      </w:r>
    </w:p>
    <w:p w14:paraId="04CBB631" w14:textId="77777777" w:rsidR="00511EA7" w:rsidRPr="00511EA7" w:rsidRDefault="00511EA7" w:rsidP="00511EA7">
      <w:pPr>
        <w:numPr>
          <w:ilvl w:val="1"/>
          <w:numId w:val="3"/>
        </w:numPr>
      </w:pPr>
      <w:r w:rsidRPr="00511EA7">
        <w:rPr>
          <w:b/>
          <w:bCs/>
        </w:rPr>
        <w:t>Condition:</w:t>
      </w:r>
      <w:r w:rsidRPr="00511EA7">
        <w:t xml:space="preserve"> 40% of deletion requests ignored.</w:t>
      </w:r>
    </w:p>
    <w:p w14:paraId="1619236F" w14:textId="77777777" w:rsidR="00511EA7" w:rsidRPr="00511EA7" w:rsidRDefault="00511EA7" w:rsidP="00511EA7">
      <w:pPr>
        <w:numPr>
          <w:ilvl w:val="1"/>
          <w:numId w:val="3"/>
        </w:numPr>
      </w:pPr>
      <w:r w:rsidRPr="00511EA7">
        <w:rPr>
          <w:b/>
          <w:bCs/>
        </w:rPr>
        <w:t>Criteria:</w:t>
      </w:r>
      <w:r w:rsidRPr="00511EA7">
        <w:t xml:space="preserve"> GDPR requires </w:t>
      </w:r>
      <w:proofErr w:type="spellStart"/>
      <w:r w:rsidRPr="00511EA7">
        <w:t>honoring</w:t>
      </w:r>
      <w:proofErr w:type="spellEnd"/>
      <w:r w:rsidRPr="00511EA7">
        <w:t xml:space="preserve"> data subject rights.</w:t>
      </w:r>
    </w:p>
    <w:p w14:paraId="5D71248D" w14:textId="77777777" w:rsidR="00511EA7" w:rsidRPr="00511EA7" w:rsidRDefault="00511EA7" w:rsidP="00511EA7">
      <w:pPr>
        <w:numPr>
          <w:ilvl w:val="1"/>
          <w:numId w:val="3"/>
        </w:numPr>
      </w:pPr>
      <w:r w:rsidRPr="00511EA7">
        <w:rPr>
          <w:b/>
          <w:bCs/>
        </w:rPr>
        <w:t>Cause:</w:t>
      </w:r>
      <w:r w:rsidRPr="00511EA7">
        <w:t xml:space="preserve"> No centralized process.</w:t>
      </w:r>
    </w:p>
    <w:p w14:paraId="58941D26" w14:textId="77777777" w:rsidR="00511EA7" w:rsidRPr="00511EA7" w:rsidRDefault="00511EA7" w:rsidP="00511EA7">
      <w:pPr>
        <w:numPr>
          <w:ilvl w:val="1"/>
          <w:numId w:val="3"/>
        </w:numPr>
      </w:pPr>
      <w:r w:rsidRPr="00511EA7">
        <w:rPr>
          <w:b/>
          <w:bCs/>
        </w:rPr>
        <w:t>Effect:</w:t>
      </w:r>
      <w:r w:rsidRPr="00511EA7">
        <w:t xml:space="preserve"> Legal, financial, reputational risks.</w:t>
      </w:r>
    </w:p>
    <w:p w14:paraId="452F122C" w14:textId="77777777" w:rsidR="00511EA7" w:rsidRPr="00511EA7" w:rsidRDefault="00511EA7" w:rsidP="00511EA7">
      <w:pPr>
        <w:numPr>
          <w:ilvl w:val="1"/>
          <w:numId w:val="3"/>
        </w:numPr>
      </w:pPr>
      <w:r w:rsidRPr="00511EA7">
        <w:rPr>
          <w:b/>
          <w:bCs/>
        </w:rPr>
        <w:t>Risk Rating:</w:t>
      </w:r>
      <w:r w:rsidRPr="00511EA7">
        <w:t xml:space="preserve"> High/Critical.</w:t>
      </w:r>
    </w:p>
    <w:p w14:paraId="39D8F3E2" w14:textId="77777777" w:rsidR="00511EA7" w:rsidRPr="00511EA7" w:rsidRDefault="00511EA7" w:rsidP="00511EA7">
      <w:r w:rsidRPr="00511EA7">
        <w:pict w14:anchorId="60CAB717">
          <v:rect id="_x0000_i1064" style="width:0;height:1.5pt" o:hralign="center" o:hrstd="t" o:hr="t" fillcolor="#a0a0a0" stroked="f"/>
        </w:pict>
      </w:r>
    </w:p>
    <w:p w14:paraId="5310ED08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Symbol" w:hAnsi="Segoe UI Symbol" w:cs="Segoe UI Symbol"/>
          <w:b/>
          <w:bCs/>
        </w:rPr>
        <w:lastRenderedPageBreak/>
        <w:t>⚖</w:t>
      </w:r>
      <w:r w:rsidRPr="00511EA7">
        <w:rPr>
          <w:b/>
          <w:bCs/>
        </w:rPr>
        <w:t>️ Part 3: Legal &amp; Regulatory Maze</w:t>
      </w:r>
    </w:p>
    <w:p w14:paraId="4B623422" w14:textId="77777777" w:rsidR="00511EA7" w:rsidRPr="00511EA7" w:rsidRDefault="00511EA7" w:rsidP="00511EA7">
      <w:pPr>
        <w:numPr>
          <w:ilvl w:val="0"/>
          <w:numId w:val="4"/>
        </w:numPr>
      </w:pPr>
      <w:r w:rsidRPr="00511EA7">
        <w:rPr>
          <w:b/>
          <w:bCs/>
        </w:rPr>
        <w:t>CNIL Inquiry:</w:t>
      </w:r>
      <w:r w:rsidRPr="00511EA7">
        <w:t xml:space="preserve"> Post-</w:t>
      </w:r>
      <w:proofErr w:type="spellStart"/>
      <w:r w:rsidRPr="00511EA7">
        <w:t>Schrems</w:t>
      </w:r>
      <w:proofErr w:type="spellEnd"/>
      <w:r w:rsidRPr="00511EA7">
        <w:t xml:space="preserve"> II, only mechanisms like </w:t>
      </w:r>
      <w:r w:rsidRPr="00511EA7">
        <w:rPr>
          <w:b/>
          <w:bCs/>
        </w:rPr>
        <w:t>Standard Contractual Clauses (SCCs)</w:t>
      </w:r>
      <w:r w:rsidRPr="00511EA7">
        <w:t xml:space="preserve"> with safeguards are valid. Violations could mean fines up to </w:t>
      </w:r>
      <w:r w:rsidRPr="00511EA7">
        <w:rPr>
          <w:b/>
          <w:bCs/>
        </w:rPr>
        <w:t>€20M or 4% of global turnover</w:t>
      </w:r>
      <w:r w:rsidRPr="00511EA7">
        <w:t>.</w:t>
      </w:r>
    </w:p>
    <w:p w14:paraId="1176C93B" w14:textId="77777777" w:rsidR="00511EA7" w:rsidRPr="00511EA7" w:rsidRDefault="00511EA7" w:rsidP="00511EA7">
      <w:pPr>
        <w:numPr>
          <w:ilvl w:val="0"/>
          <w:numId w:val="4"/>
        </w:numPr>
      </w:pPr>
      <w:r w:rsidRPr="00511EA7">
        <w:rPr>
          <w:b/>
          <w:bCs/>
        </w:rPr>
        <w:t>California Lawsuit:</w:t>
      </w:r>
      <w:r w:rsidRPr="00511EA7">
        <w:t xml:space="preserve"> Falls under </w:t>
      </w:r>
      <w:r w:rsidRPr="00511EA7">
        <w:rPr>
          <w:b/>
          <w:bCs/>
        </w:rPr>
        <w:t>CCPA/CPRA</w:t>
      </w:r>
      <w:r w:rsidRPr="00511EA7">
        <w:t>, violating the right to data deletion. Difference: GDPR lacks broad private right of action, while CCPA allows lawsuits for certain breaches.</w:t>
      </w:r>
    </w:p>
    <w:p w14:paraId="15129DD9" w14:textId="77777777" w:rsidR="00511EA7" w:rsidRPr="00511EA7" w:rsidRDefault="00511EA7" w:rsidP="00511EA7">
      <w:pPr>
        <w:numPr>
          <w:ilvl w:val="0"/>
          <w:numId w:val="4"/>
        </w:numPr>
      </w:pPr>
      <w:r w:rsidRPr="00511EA7">
        <w:rPr>
          <w:b/>
          <w:bCs/>
        </w:rPr>
        <w:t>DOJ Settlement:</w:t>
      </w:r>
      <w:r w:rsidRPr="00511EA7">
        <w:t xml:space="preserve"> A </w:t>
      </w:r>
      <w:r w:rsidRPr="00511EA7">
        <w:rPr>
          <w:b/>
          <w:bCs/>
        </w:rPr>
        <w:t>Deferred Prosecution Agreement (DPA)</w:t>
      </w:r>
      <w:r w:rsidRPr="00511EA7">
        <w:t xml:space="preserve"> offers benefits (avoid conviction, reduced penalties) but requires obligations like compliance monitoring.</w:t>
      </w:r>
    </w:p>
    <w:p w14:paraId="063E5744" w14:textId="77777777" w:rsidR="00511EA7" w:rsidRPr="00511EA7" w:rsidRDefault="00511EA7" w:rsidP="00511EA7">
      <w:r w:rsidRPr="00511EA7">
        <w:pict w14:anchorId="5BDED787">
          <v:rect id="_x0000_i1065" style="width:0;height:1.5pt" o:hralign="center" o:hrstd="t" o:hr="t" fillcolor="#a0a0a0" stroked="f"/>
        </w:pict>
      </w:r>
    </w:p>
    <w:p w14:paraId="20A67F7B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Emoji" w:hAnsi="Segoe UI Emoji" w:cs="Segoe UI Emoji"/>
          <w:b/>
          <w:bCs/>
        </w:rPr>
        <w:t>📈</w:t>
      </w:r>
      <w:r w:rsidRPr="00511EA7">
        <w:rPr>
          <w:b/>
          <w:bCs/>
        </w:rPr>
        <w:t xml:space="preserve"> Part 4: Strategic Roadmap &amp; Board Presentation</w:t>
      </w:r>
    </w:p>
    <w:p w14:paraId="2E7558DE" w14:textId="77777777" w:rsidR="00511EA7" w:rsidRPr="00511EA7" w:rsidRDefault="00511EA7" w:rsidP="00511EA7">
      <w:pPr>
        <w:numPr>
          <w:ilvl w:val="0"/>
          <w:numId w:val="5"/>
        </w:numPr>
      </w:pPr>
      <w:r w:rsidRPr="00511EA7">
        <w:rPr>
          <w:b/>
          <w:bCs/>
        </w:rPr>
        <w:t>Corrective Action Plan (CAP):</w:t>
      </w:r>
      <w:r w:rsidRPr="00511EA7">
        <w:t xml:space="preserve"> </w:t>
      </w:r>
    </w:p>
    <w:p w14:paraId="66DF058D" w14:textId="77777777" w:rsidR="00511EA7" w:rsidRPr="00511EA7" w:rsidRDefault="00511EA7" w:rsidP="00511EA7">
      <w:pPr>
        <w:numPr>
          <w:ilvl w:val="1"/>
          <w:numId w:val="5"/>
        </w:numPr>
      </w:pPr>
      <w:r w:rsidRPr="00511EA7">
        <w:t>Implement centralized DSR system.</w:t>
      </w:r>
    </w:p>
    <w:p w14:paraId="14E4E850" w14:textId="77777777" w:rsidR="00511EA7" w:rsidRPr="00511EA7" w:rsidRDefault="00511EA7" w:rsidP="00511EA7">
      <w:pPr>
        <w:numPr>
          <w:ilvl w:val="1"/>
          <w:numId w:val="5"/>
        </w:numPr>
      </w:pPr>
      <w:r w:rsidRPr="00511EA7">
        <w:t>Assign ownership to Compliance/IT.</w:t>
      </w:r>
    </w:p>
    <w:p w14:paraId="2CB102BB" w14:textId="77777777" w:rsidR="00511EA7" w:rsidRPr="00511EA7" w:rsidRDefault="00511EA7" w:rsidP="00511EA7">
      <w:pPr>
        <w:numPr>
          <w:ilvl w:val="1"/>
          <w:numId w:val="5"/>
        </w:numPr>
      </w:pPr>
      <w:r w:rsidRPr="00511EA7">
        <w:t>Set deadlines and success metrics (e.g., 100% request closure).</w:t>
      </w:r>
    </w:p>
    <w:p w14:paraId="1DC28638" w14:textId="77777777" w:rsidR="00511EA7" w:rsidRPr="00511EA7" w:rsidRDefault="00511EA7" w:rsidP="00511EA7">
      <w:pPr>
        <w:numPr>
          <w:ilvl w:val="0"/>
          <w:numId w:val="5"/>
        </w:numPr>
      </w:pPr>
      <w:r w:rsidRPr="00511EA7">
        <w:rPr>
          <w:b/>
          <w:bCs/>
        </w:rPr>
        <w:t>Tone at the Top:</w:t>
      </w:r>
      <w:r w:rsidRPr="00511EA7">
        <w:t xml:space="preserve"> Stress compliance as a </w:t>
      </w:r>
      <w:r w:rsidRPr="00511EA7">
        <w:rPr>
          <w:b/>
          <w:bCs/>
        </w:rPr>
        <w:t>strategic imperative</w:t>
      </w:r>
      <w:r w:rsidRPr="00511EA7">
        <w:t xml:space="preserve"> for survival and merger success.</w:t>
      </w:r>
    </w:p>
    <w:p w14:paraId="4AA3D45B" w14:textId="77777777" w:rsidR="00511EA7" w:rsidRPr="00511EA7" w:rsidRDefault="00511EA7" w:rsidP="00511EA7">
      <w:pPr>
        <w:numPr>
          <w:ilvl w:val="0"/>
          <w:numId w:val="5"/>
        </w:numPr>
      </w:pPr>
      <w:r w:rsidRPr="00511EA7">
        <w:rPr>
          <w:b/>
          <w:bCs/>
        </w:rPr>
        <w:t>Future-Proofing:</w:t>
      </w:r>
      <w:r w:rsidRPr="00511EA7">
        <w:t xml:space="preserve"> Invest in </w:t>
      </w:r>
      <w:r w:rsidRPr="00511EA7">
        <w:rPr>
          <w:b/>
          <w:bCs/>
        </w:rPr>
        <w:t>Privacy-Enhancing Technologies or AI Governance</w:t>
      </w:r>
      <w:r w:rsidRPr="00511EA7">
        <w:t xml:space="preserve"> to prevent future crises.</w:t>
      </w:r>
    </w:p>
    <w:p w14:paraId="0A1681E0" w14:textId="77777777" w:rsidR="00511EA7" w:rsidRPr="00511EA7" w:rsidRDefault="00511EA7" w:rsidP="00511EA7">
      <w:r w:rsidRPr="00511EA7">
        <w:pict w14:anchorId="0EFF3EA5">
          <v:rect id="_x0000_i1066" style="width:0;height:1.5pt" o:hralign="center" o:hrstd="t" o:hr="t" fillcolor="#a0a0a0" stroked="f"/>
        </w:pict>
      </w:r>
    </w:p>
    <w:p w14:paraId="1C81278C" w14:textId="77777777" w:rsidR="00511EA7" w:rsidRPr="00511EA7" w:rsidRDefault="00511EA7" w:rsidP="00511EA7">
      <w:r w:rsidRPr="00511EA7">
        <w:rPr>
          <w:rFonts w:ascii="Segoe UI Emoji" w:hAnsi="Segoe UI Emoji" w:cs="Segoe UI Emoji"/>
        </w:rPr>
        <w:t>✅</w:t>
      </w:r>
      <w:r w:rsidRPr="00511EA7">
        <w:t xml:space="preserve"> </w:t>
      </w:r>
      <w:r w:rsidRPr="00511EA7">
        <w:rPr>
          <w:b/>
          <w:bCs/>
        </w:rPr>
        <w:t>Key takeaway:</w:t>
      </w:r>
      <w:r w:rsidRPr="00511EA7">
        <w:t xml:space="preserve"> </w:t>
      </w:r>
      <w:proofErr w:type="spellStart"/>
      <w:r w:rsidRPr="00511EA7">
        <w:t>GlobalSync</w:t>
      </w:r>
      <w:proofErr w:type="spellEnd"/>
      <w:r w:rsidRPr="00511EA7">
        <w:t xml:space="preserve"> must urgently address compliance gaps across </w:t>
      </w:r>
      <w:r w:rsidRPr="00511EA7">
        <w:rPr>
          <w:b/>
          <w:bCs/>
        </w:rPr>
        <w:t>data privacy, anti-bribery, and financial controls</w:t>
      </w:r>
      <w:r w:rsidRPr="00511EA7">
        <w:t xml:space="preserve"> to protect its merger, reputation, and legal standing.</w:t>
      </w:r>
    </w:p>
    <w:p w14:paraId="21D6F00A" w14:textId="77777777" w:rsidR="00511EA7" w:rsidRPr="00511EA7" w:rsidRDefault="00511EA7" w:rsidP="00511EA7">
      <w:r w:rsidRPr="00511EA7">
        <w:t xml:space="preserve">Would you like me to also </w:t>
      </w:r>
      <w:r w:rsidRPr="00511EA7">
        <w:rPr>
          <w:b/>
          <w:bCs/>
        </w:rPr>
        <w:t>map the four allegations onto the 5x5 risk matrix</w:t>
      </w:r>
      <w:r w:rsidRPr="00511EA7">
        <w:t xml:space="preserve"> (likelihood vs. impact) so you can see visually which ones are most dangerous?</w:t>
      </w:r>
    </w:p>
    <w:p w14:paraId="0369DD75" w14:textId="77777777" w:rsidR="003529B7" w:rsidRDefault="003529B7"/>
    <w:p w14:paraId="493111F0" w14:textId="77777777" w:rsidR="00511EA7" w:rsidRPr="00511EA7" w:rsidRDefault="00511EA7" w:rsidP="00511EA7">
      <w:r w:rsidRPr="00511EA7">
        <w:t xml:space="preserve">Perfect! Let’s map the </w:t>
      </w:r>
      <w:r w:rsidRPr="00511EA7">
        <w:rPr>
          <w:b/>
          <w:bCs/>
        </w:rPr>
        <w:t>four allegations (A–D)</w:t>
      </w:r>
      <w:r w:rsidRPr="00511EA7">
        <w:t xml:space="preserve"> onto a </w:t>
      </w:r>
      <w:r w:rsidRPr="00511EA7">
        <w:rPr>
          <w:b/>
          <w:bCs/>
        </w:rPr>
        <w:t>5x5 Risk Matrix</w:t>
      </w:r>
      <w:r w:rsidRPr="00511EA7">
        <w:t xml:space="preserve"> so you can see their relative danger levels clearly:</w:t>
      </w:r>
    </w:p>
    <w:p w14:paraId="7A8A073D" w14:textId="77777777" w:rsidR="00511EA7" w:rsidRPr="00511EA7" w:rsidRDefault="00511EA7" w:rsidP="00511EA7">
      <w:r w:rsidRPr="00511EA7">
        <w:pict w14:anchorId="5A4C6DE8">
          <v:rect id="_x0000_i1091" style="width:0;height:1.5pt" o:hralign="center" o:hrstd="t" o:hr="t" fillcolor="#a0a0a0" stroked="f"/>
        </w:pict>
      </w:r>
    </w:p>
    <w:p w14:paraId="1C44B44F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Emoji" w:hAnsi="Segoe UI Emoji" w:cs="Segoe UI Emoji"/>
          <w:b/>
          <w:bCs/>
        </w:rPr>
        <w:t>📊</w:t>
      </w:r>
      <w:r w:rsidRPr="00511EA7">
        <w:rPr>
          <w:b/>
          <w:bCs/>
        </w:rPr>
        <w:t xml:space="preserve"> Risk Matrix (Likelihood vs.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203"/>
        <w:gridCol w:w="1128"/>
        <w:gridCol w:w="1280"/>
        <w:gridCol w:w="1292"/>
        <w:gridCol w:w="2792"/>
      </w:tblGrid>
      <w:tr w:rsidR="00511EA7" w:rsidRPr="00511EA7" w14:paraId="464F981D" w14:textId="77777777" w:rsidTr="00511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60C00" w14:textId="77777777" w:rsidR="00511EA7" w:rsidRPr="00511EA7" w:rsidRDefault="00511EA7" w:rsidP="00511EA7">
            <w:pPr>
              <w:rPr>
                <w:b/>
                <w:bCs/>
              </w:rPr>
            </w:pPr>
            <w:r w:rsidRPr="00511EA7">
              <w:rPr>
                <w:b/>
                <w:bCs/>
              </w:rPr>
              <w:lastRenderedPageBreak/>
              <w:t>Allegation</w:t>
            </w:r>
          </w:p>
        </w:tc>
        <w:tc>
          <w:tcPr>
            <w:tcW w:w="0" w:type="auto"/>
            <w:vAlign w:val="center"/>
            <w:hideMark/>
          </w:tcPr>
          <w:p w14:paraId="52C7128C" w14:textId="77777777" w:rsidR="00511EA7" w:rsidRPr="00511EA7" w:rsidRDefault="00511EA7" w:rsidP="00511EA7">
            <w:pPr>
              <w:rPr>
                <w:b/>
                <w:bCs/>
              </w:rPr>
            </w:pPr>
            <w:r w:rsidRPr="00511EA7">
              <w:rPr>
                <w:b/>
                <w:bCs/>
              </w:rPr>
              <w:t>Regulation at Risk</w:t>
            </w:r>
          </w:p>
        </w:tc>
        <w:tc>
          <w:tcPr>
            <w:tcW w:w="0" w:type="auto"/>
            <w:vAlign w:val="center"/>
            <w:hideMark/>
          </w:tcPr>
          <w:p w14:paraId="3A1F67B1" w14:textId="77777777" w:rsidR="00511EA7" w:rsidRPr="00511EA7" w:rsidRDefault="00511EA7" w:rsidP="00511EA7">
            <w:pPr>
              <w:rPr>
                <w:b/>
                <w:bCs/>
              </w:rPr>
            </w:pPr>
            <w:r w:rsidRPr="00511EA7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1D9BB2E" w14:textId="77777777" w:rsidR="00511EA7" w:rsidRPr="00511EA7" w:rsidRDefault="00511EA7" w:rsidP="00511EA7">
            <w:pPr>
              <w:rPr>
                <w:b/>
                <w:bCs/>
              </w:rPr>
            </w:pPr>
            <w:r w:rsidRPr="00511EA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8EEB14B" w14:textId="77777777" w:rsidR="00511EA7" w:rsidRPr="00511EA7" w:rsidRDefault="00511EA7" w:rsidP="00511EA7">
            <w:pPr>
              <w:rPr>
                <w:b/>
                <w:bCs/>
              </w:rPr>
            </w:pPr>
            <w:r w:rsidRPr="00511EA7">
              <w:rPr>
                <w:b/>
                <w:bCs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7814856D" w14:textId="77777777" w:rsidR="00511EA7" w:rsidRPr="00511EA7" w:rsidRDefault="00511EA7" w:rsidP="00511EA7">
            <w:pPr>
              <w:rPr>
                <w:b/>
                <w:bCs/>
              </w:rPr>
            </w:pPr>
            <w:r w:rsidRPr="00511EA7">
              <w:rPr>
                <w:b/>
                <w:bCs/>
              </w:rPr>
              <w:t>Justification</w:t>
            </w:r>
          </w:p>
        </w:tc>
      </w:tr>
      <w:tr w:rsidR="00511EA7" w:rsidRPr="00511EA7" w14:paraId="5B57DCD6" w14:textId="77777777" w:rsidTr="00511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7190" w14:textId="77777777" w:rsidR="00511EA7" w:rsidRPr="00511EA7" w:rsidRDefault="00511EA7" w:rsidP="00511EA7">
            <w:r w:rsidRPr="00511EA7">
              <w:rPr>
                <w:b/>
                <w:bCs/>
              </w:rPr>
              <w:t>A. EU–US Data Transfers</w:t>
            </w:r>
          </w:p>
        </w:tc>
        <w:tc>
          <w:tcPr>
            <w:tcW w:w="0" w:type="auto"/>
            <w:vAlign w:val="center"/>
            <w:hideMark/>
          </w:tcPr>
          <w:p w14:paraId="5E90AA21" w14:textId="77777777" w:rsidR="00511EA7" w:rsidRPr="00511EA7" w:rsidRDefault="00511EA7" w:rsidP="00511EA7">
            <w:r w:rsidRPr="00511EA7">
              <w:t>GDPR</w:t>
            </w:r>
          </w:p>
        </w:tc>
        <w:tc>
          <w:tcPr>
            <w:tcW w:w="0" w:type="auto"/>
            <w:vAlign w:val="center"/>
            <w:hideMark/>
          </w:tcPr>
          <w:p w14:paraId="6EDBA7E6" w14:textId="77777777" w:rsidR="00511EA7" w:rsidRPr="00511EA7" w:rsidRDefault="00511EA7" w:rsidP="00511EA7">
            <w:r w:rsidRPr="00511EA7">
              <w:t>Likely</w:t>
            </w:r>
          </w:p>
        </w:tc>
        <w:tc>
          <w:tcPr>
            <w:tcW w:w="0" w:type="auto"/>
            <w:vAlign w:val="center"/>
            <w:hideMark/>
          </w:tcPr>
          <w:p w14:paraId="7BC522AE" w14:textId="77777777" w:rsidR="00511EA7" w:rsidRPr="00511EA7" w:rsidRDefault="00511EA7" w:rsidP="00511EA7">
            <w:r w:rsidRPr="00511EA7">
              <w:t>Major</w:t>
            </w:r>
          </w:p>
        </w:tc>
        <w:tc>
          <w:tcPr>
            <w:tcW w:w="0" w:type="auto"/>
            <w:vAlign w:val="center"/>
            <w:hideMark/>
          </w:tcPr>
          <w:p w14:paraId="54D05E6D" w14:textId="77777777" w:rsidR="00511EA7" w:rsidRPr="00511EA7" w:rsidRDefault="00511EA7" w:rsidP="00511EA7">
            <w:r w:rsidRPr="00511EA7">
              <w:rPr>
                <w:b/>
                <w:bCs/>
              </w:rPr>
              <w:t>High Risk (Red Zone)</w:t>
            </w:r>
          </w:p>
        </w:tc>
        <w:tc>
          <w:tcPr>
            <w:tcW w:w="0" w:type="auto"/>
            <w:vAlign w:val="center"/>
            <w:hideMark/>
          </w:tcPr>
          <w:p w14:paraId="58C3671E" w14:textId="77777777" w:rsidR="00511EA7" w:rsidRPr="00511EA7" w:rsidRDefault="00511EA7" w:rsidP="00511EA7">
            <w:r w:rsidRPr="00511EA7">
              <w:t>Ongoing transfers without legal basis are systemic, highly likely to be detected, and can trigger catastrophic fines (up to 4% global turnover).</w:t>
            </w:r>
          </w:p>
        </w:tc>
      </w:tr>
      <w:tr w:rsidR="00511EA7" w:rsidRPr="00511EA7" w14:paraId="4A8DD826" w14:textId="77777777" w:rsidTr="00511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F002" w14:textId="77777777" w:rsidR="00511EA7" w:rsidRPr="00511EA7" w:rsidRDefault="00511EA7" w:rsidP="00511EA7">
            <w:r w:rsidRPr="00511EA7">
              <w:rPr>
                <w:b/>
                <w:bCs/>
              </w:rPr>
              <w:t>B. Brazil Bribery</w:t>
            </w:r>
          </w:p>
        </w:tc>
        <w:tc>
          <w:tcPr>
            <w:tcW w:w="0" w:type="auto"/>
            <w:vAlign w:val="center"/>
            <w:hideMark/>
          </w:tcPr>
          <w:p w14:paraId="626756A4" w14:textId="77777777" w:rsidR="00511EA7" w:rsidRPr="00511EA7" w:rsidRDefault="00511EA7" w:rsidP="00511EA7">
            <w:r w:rsidRPr="00511EA7">
              <w:t>FCPA</w:t>
            </w:r>
          </w:p>
        </w:tc>
        <w:tc>
          <w:tcPr>
            <w:tcW w:w="0" w:type="auto"/>
            <w:vAlign w:val="center"/>
            <w:hideMark/>
          </w:tcPr>
          <w:p w14:paraId="3173AA38" w14:textId="77777777" w:rsidR="00511EA7" w:rsidRPr="00511EA7" w:rsidRDefault="00511EA7" w:rsidP="00511EA7">
            <w:r w:rsidRPr="00511EA7">
              <w:t>Possible</w:t>
            </w:r>
          </w:p>
        </w:tc>
        <w:tc>
          <w:tcPr>
            <w:tcW w:w="0" w:type="auto"/>
            <w:vAlign w:val="center"/>
            <w:hideMark/>
          </w:tcPr>
          <w:p w14:paraId="3D55FB9D" w14:textId="77777777" w:rsidR="00511EA7" w:rsidRPr="00511EA7" w:rsidRDefault="00511EA7" w:rsidP="00511EA7">
            <w:r w:rsidRPr="00511EA7">
              <w:t>Catastrophic</w:t>
            </w:r>
          </w:p>
        </w:tc>
        <w:tc>
          <w:tcPr>
            <w:tcW w:w="0" w:type="auto"/>
            <w:vAlign w:val="center"/>
            <w:hideMark/>
          </w:tcPr>
          <w:p w14:paraId="26A284A3" w14:textId="77777777" w:rsidR="00511EA7" w:rsidRPr="00511EA7" w:rsidRDefault="00511EA7" w:rsidP="00511EA7">
            <w:r w:rsidRPr="00511EA7">
              <w:rPr>
                <w:b/>
                <w:bCs/>
              </w:rPr>
              <w:t>High Risk (Red Zone)</w:t>
            </w:r>
          </w:p>
        </w:tc>
        <w:tc>
          <w:tcPr>
            <w:tcW w:w="0" w:type="auto"/>
            <w:vAlign w:val="center"/>
            <w:hideMark/>
          </w:tcPr>
          <w:p w14:paraId="43C72972" w14:textId="77777777" w:rsidR="00511EA7" w:rsidRPr="00511EA7" w:rsidRDefault="00511EA7" w:rsidP="00511EA7">
            <w:r w:rsidRPr="00511EA7">
              <w:t>Bribery may not occur in every deal but the DOJ investigation makes it possible. Impact is catastrophic (criminal liability, reputational damage, merger collapse).</w:t>
            </w:r>
          </w:p>
        </w:tc>
      </w:tr>
      <w:tr w:rsidR="00511EA7" w:rsidRPr="00511EA7" w14:paraId="04C1C5BE" w14:textId="77777777" w:rsidTr="00511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0C90" w14:textId="77777777" w:rsidR="00511EA7" w:rsidRPr="00511EA7" w:rsidRDefault="00511EA7" w:rsidP="00511EA7">
            <w:r w:rsidRPr="00511EA7">
              <w:rPr>
                <w:b/>
                <w:bCs/>
              </w:rPr>
              <w:t>C. Ignored Data Deletion Requests</w:t>
            </w:r>
          </w:p>
        </w:tc>
        <w:tc>
          <w:tcPr>
            <w:tcW w:w="0" w:type="auto"/>
            <w:vAlign w:val="center"/>
            <w:hideMark/>
          </w:tcPr>
          <w:p w14:paraId="1CB0B33A" w14:textId="77777777" w:rsidR="00511EA7" w:rsidRPr="00511EA7" w:rsidRDefault="00511EA7" w:rsidP="00511EA7">
            <w:r w:rsidRPr="00511EA7">
              <w:t>GDPR / CCPA</w:t>
            </w:r>
          </w:p>
        </w:tc>
        <w:tc>
          <w:tcPr>
            <w:tcW w:w="0" w:type="auto"/>
            <w:vAlign w:val="center"/>
            <w:hideMark/>
          </w:tcPr>
          <w:p w14:paraId="41D8736A" w14:textId="77777777" w:rsidR="00511EA7" w:rsidRPr="00511EA7" w:rsidRDefault="00511EA7" w:rsidP="00511EA7">
            <w:r w:rsidRPr="00511EA7">
              <w:t>Almost Certain</w:t>
            </w:r>
          </w:p>
        </w:tc>
        <w:tc>
          <w:tcPr>
            <w:tcW w:w="0" w:type="auto"/>
            <w:vAlign w:val="center"/>
            <w:hideMark/>
          </w:tcPr>
          <w:p w14:paraId="27D07DF4" w14:textId="77777777" w:rsidR="00511EA7" w:rsidRPr="00511EA7" w:rsidRDefault="00511EA7" w:rsidP="00511EA7">
            <w:r w:rsidRPr="00511EA7">
              <w:t>Major</w:t>
            </w:r>
          </w:p>
        </w:tc>
        <w:tc>
          <w:tcPr>
            <w:tcW w:w="0" w:type="auto"/>
            <w:vAlign w:val="center"/>
            <w:hideMark/>
          </w:tcPr>
          <w:p w14:paraId="047CC852" w14:textId="77777777" w:rsidR="00511EA7" w:rsidRPr="00511EA7" w:rsidRDefault="00511EA7" w:rsidP="00511EA7">
            <w:r w:rsidRPr="00511EA7">
              <w:rPr>
                <w:b/>
                <w:bCs/>
              </w:rPr>
              <w:t>Critical Risk (Top Red Zone)</w:t>
            </w:r>
          </w:p>
        </w:tc>
        <w:tc>
          <w:tcPr>
            <w:tcW w:w="0" w:type="auto"/>
            <w:vAlign w:val="center"/>
            <w:hideMark/>
          </w:tcPr>
          <w:p w14:paraId="421D9AA0" w14:textId="77777777" w:rsidR="00511EA7" w:rsidRPr="00511EA7" w:rsidRDefault="00511EA7" w:rsidP="00511EA7">
            <w:r w:rsidRPr="00511EA7">
              <w:t>Already confirmed by audit (40% ignored). Almost certain to recur. Major impact: lawsuits, regulatory fines, reputational harm.</w:t>
            </w:r>
          </w:p>
        </w:tc>
      </w:tr>
      <w:tr w:rsidR="00511EA7" w:rsidRPr="00511EA7" w14:paraId="333D9D0D" w14:textId="77777777" w:rsidTr="00511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C6CB" w14:textId="77777777" w:rsidR="00511EA7" w:rsidRPr="00511EA7" w:rsidRDefault="00511EA7" w:rsidP="00511EA7">
            <w:r w:rsidRPr="00511EA7">
              <w:rPr>
                <w:b/>
                <w:bCs/>
              </w:rPr>
              <w:t>D. Weak Financial Controls</w:t>
            </w:r>
          </w:p>
        </w:tc>
        <w:tc>
          <w:tcPr>
            <w:tcW w:w="0" w:type="auto"/>
            <w:vAlign w:val="center"/>
            <w:hideMark/>
          </w:tcPr>
          <w:p w14:paraId="5C961922" w14:textId="77777777" w:rsidR="00511EA7" w:rsidRPr="00511EA7" w:rsidRDefault="00511EA7" w:rsidP="00511EA7">
            <w:r w:rsidRPr="00511EA7">
              <w:t>SOX</w:t>
            </w:r>
          </w:p>
        </w:tc>
        <w:tc>
          <w:tcPr>
            <w:tcW w:w="0" w:type="auto"/>
            <w:vAlign w:val="center"/>
            <w:hideMark/>
          </w:tcPr>
          <w:p w14:paraId="054F20D2" w14:textId="77777777" w:rsidR="00511EA7" w:rsidRPr="00511EA7" w:rsidRDefault="00511EA7" w:rsidP="00511EA7">
            <w:r w:rsidRPr="00511EA7">
              <w:t>Possible</w:t>
            </w:r>
          </w:p>
        </w:tc>
        <w:tc>
          <w:tcPr>
            <w:tcW w:w="0" w:type="auto"/>
            <w:vAlign w:val="center"/>
            <w:hideMark/>
          </w:tcPr>
          <w:p w14:paraId="47AAC83E" w14:textId="77777777" w:rsidR="00511EA7" w:rsidRPr="00511EA7" w:rsidRDefault="00511EA7" w:rsidP="00511EA7">
            <w:r w:rsidRPr="00511EA7">
              <w:t>Moderate</w:t>
            </w:r>
          </w:p>
        </w:tc>
        <w:tc>
          <w:tcPr>
            <w:tcW w:w="0" w:type="auto"/>
            <w:vAlign w:val="center"/>
            <w:hideMark/>
          </w:tcPr>
          <w:p w14:paraId="7DD0D5F3" w14:textId="77777777" w:rsidR="00511EA7" w:rsidRPr="00511EA7" w:rsidRDefault="00511EA7" w:rsidP="00511EA7">
            <w:r w:rsidRPr="00511EA7">
              <w:rPr>
                <w:b/>
                <w:bCs/>
              </w:rPr>
              <w:t>Medium Risk (Orange Zone)</w:t>
            </w:r>
          </w:p>
        </w:tc>
        <w:tc>
          <w:tcPr>
            <w:tcW w:w="0" w:type="auto"/>
            <w:vAlign w:val="center"/>
            <w:hideMark/>
          </w:tcPr>
          <w:p w14:paraId="4FACCCE7" w14:textId="77777777" w:rsidR="00511EA7" w:rsidRPr="00511EA7" w:rsidRDefault="00511EA7" w:rsidP="00511EA7">
            <w:r w:rsidRPr="00511EA7">
              <w:t>Possible occurrence, but impact is moderate unless fraud is uncovered. Still serious for investor confidence and merger readiness.</w:t>
            </w:r>
          </w:p>
        </w:tc>
      </w:tr>
    </w:tbl>
    <w:p w14:paraId="5DBEBB1C" w14:textId="77777777" w:rsidR="00511EA7" w:rsidRPr="00511EA7" w:rsidRDefault="00511EA7" w:rsidP="00511EA7">
      <w:r w:rsidRPr="00511EA7">
        <w:pict w14:anchorId="412142F6">
          <v:rect id="_x0000_i1092" style="width:0;height:1.5pt" o:hralign="center" o:hrstd="t" o:hr="t" fillcolor="#a0a0a0" stroked="f"/>
        </w:pict>
      </w:r>
    </w:p>
    <w:p w14:paraId="791D14A2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Emoji" w:hAnsi="Segoe UI Emoji" w:cs="Segoe UI Emoji"/>
          <w:b/>
          <w:bCs/>
        </w:rPr>
        <w:t>🎯</w:t>
      </w:r>
      <w:r w:rsidRPr="00511EA7">
        <w:rPr>
          <w:b/>
          <w:bCs/>
        </w:rPr>
        <w:t xml:space="preserve"> Key Takeaways</w:t>
      </w:r>
    </w:p>
    <w:p w14:paraId="6BAD8788" w14:textId="77777777" w:rsidR="00511EA7" w:rsidRPr="00511EA7" w:rsidRDefault="00511EA7" w:rsidP="00511EA7">
      <w:pPr>
        <w:numPr>
          <w:ilvl w:val="0"/>
          <w:numId w:val="6"/>
        </w:numPr>
      </w:pPr>
      <w:r w:rsidRPr="00511EA7">
        <w:rPr>
          <w:b/>
          <w:bCs/>
        </w:rPr>
        <w:t>Allegation C (Data Deletion Failures)</w:t>
      </w:r>
      <w:r w:rsidRPr="00511EA7">
        <w:t xml:space="preserve"> is the most dangerous: confirmed, systemic, and legally explosive.</w:t>
      </w:r>
    </w:p>
    <w:p w14:paraId="7B354FD5" w14:textId="77777777" w:rsidR="00511EA7" w:rsidRPr="00511EA7" w:rsidRDefault="00511EA7" w:rsidP="00511EA7">
      <w:pPr>
        <w:numPr>
          <w:ilvl w:val="0"/>
          <w:numId w:val="6"/>
        </w:numPr>
      </w:pPr>
      <w:r w:rsidRPr="00511EA7">
        <w:rPr>
          <w:b/>
          <w:bCs/>
        </w:rPr>
        <w:t>Allegation A (EU–US Transfers)</w:t>
      </w:r>
      <w:r w:rsidRPr="00511EA7">
        <w:t xml:space="preserve"> and </w:t>
      </w:r>
      <w:r w:rsidRPr="00511EA7">
        <w:rPr>
          <w:b/>
          <w:bCs/>
        </w:rPr>
        <w:t>B (Bribery)</w:t>
      </w:r>
      <w:r w:rsidRPr="00511EA7">
        <w:t xml:space="preserve"> are both high-risk due to regulatory scrutiny and potential catastrophic impact.</w:t>
      </w:r>
    </w:p>
    <w:p w14:paraId="4744A014" w14:textId="77777777" w:rsidR="00511EA7" w:rsidRPr="00511EA7" w:rsidRDefault="00511EA7" w:rsidP="00511EA7">
      <w:pPr>
        <w:numPr>
          <w:ilvl w:val="0"/>
          <w:numId w:val="6"/>
        </w:numPr>
      </w:pPr>
      <w:r w:rsidRPr="00511EA7">
        <w:rPr>
          <w:b/>
          <w:bCs/>
        </w:rPr>
        <w:t>Allegation D (Financial Controls)</w:t>
      </w:r>
      <w:r w:rsidRPr="00511EA7">
        <w:t xml:space="preserve"> is medium risk but still undermines credibility with auditors and merger partners.</w:t>
      </w:r>
    </w:p>
    <w:p w14:paraId="2EBE094A" w14:textId="77777777" w:rsidR="00511EA7" w:rsidRPr="00511EA7" w:rsidRDefault="00511EA7" w:rsidP="00511EA7">
      <w:r w:rsidRPr="00511EA7">
        <w:pict w14:anchorId="34129D80">
          <v:rect id="_x0000_i1093" style="width:0;height:1.5pt" o:hralign="center" o:hrstd="t" o:hr="t" fillcolor="#a0a0a0" stroked="f"/>
        </w:pict>
      </w:r>
    </w:p>
    <w:p w14:paraId="4B77368C" w14:textId="77777777" w:rsidR="00511EA7" w:rsidRPr="00511EA7" w:rsidRDefault="00511EA7" w:rsidP="00511EA7">
      <w:r w:rsidRPr="00511EA7">
        <w:rPr>
          <w:rFonts w:ascii="Segoe UI Emoji" w:hAnsi="Segoe UI Emoji" w:cs="Segoe UI Emoji"/>
        </w:rPr>
        <w:lastRenderedPageBreak/>
        <w:t>👉</w:t>
      </w:r>
      <w:r w:rsidRPr="00511EA7">
        <w:t xml:space="preserve"> This visualization shows that </w:t>
      </w:r>
      <w:r w:rsidRPr="00511EA7">
        <w:rPr>
          <w:b/>
          <w:bCs/>
        </w:rPr>
        <w:t>privacy and anti-bribery issues</w:t>
      </w:r>
      <w:r w:rsidRPr="00511EA7">
        <w:t xml:space="preserve"> are the most urgent to remediate, while financial controls need strengthening but pose slightly less immediate danger.</w:t>
      </w:r>
    </w:p>
    <w:p w14:paraId="37746A75" w14:textId="77777777" w:rsidR="00511EA7" w:rsidRPr="00511EA7" w:rsidRDefault="00511EA7" w:rsidP="00511EA7">
      <w:r w:rsidRPr="00511EA7">
        <w:t xml:space="preserve">Would you like me to </w:t>
      </w:r>
      <w:r w:rsidRPr="00511EA7">
        <w:rPr>
          <w:b/>
          <w:bCs/>
        </w:rPr>
        <w:t>draft a visual 5x5 grid diagram</w:t>
      </w:r>
      <w:r w:rsidRPr="00511EA7">
        <w:t xml:space="preserve"> of this matrix so you can present it directly to the Board?</w:t>
      </w:r>
    </w:p>
    <w:p w14:paraId="0F7C2D49" w14:textId="77777777" w:rsidR="00511EA7" w:rsidRPr="00511EA7" w:rsidRDefault="00511EA7" w:rsidP="00511EA7">
      <w:r w:rsidRPr="00511EA7">
        <w:t xml:space="preserve">Your compliance risk heatmap is ready </w:t>
      </w:r>
      <w:r w:rsidRPr="00511EA7">
        <w:rPr>
          <w:rFonts w:ascii="Segoe UI Emoji" w:hAnsi="Segoe UI Emoji" w:cs="Segoe UI Emoji"/>
        </w:rPr>
        <w:t>✅</w:t>
      </w:r>
      <w:r w:rsidRPr="00511EA7">
        <w:t xml:space="preserve">. The 5x5 matrix visually shows where each allegation sits in terms of </w:t>
      </w:r>
      <w:r w:rsidRPr="00511EA7">
        <w:rPr>
          <w:b/>
          <w:bCs/>
        </w:rPr>
        <w:t>likelihood vs. impact</w:t>
      </w:r>
      <w:r w:rsidRPr="00511EA7">
        <w:t xml:space="preserve">, with clear </w:t>
      </w:r>
      <w:proofErr w:type="spellStart"/>
      <w:r w:rsidRPr="00511EA7">
        <w:t>color</w:t>
      </w:r>
      <w:proofErr w:type="spellEnd"/>
      <w:r w:rsidRPr="00511EA7">
        <w:t xml:space="preserve"> coding (green = low, yellow = medium, orange = high, red = critical).</w:t>
      </w:r>
    </w:p>
    <w:p w14:paraId="29E20803" w14:textId="77777777" w:rsidR="00511EA7" w:rsidRPr="00511EA7" w:rsidRDefault="00511EA7" w:rsidP="00511EA7">
      <w:r w:rsidRPr="00511EA7">
        <w:t xml:space="preserve">Click/open the card above to view and download the chart. It’s a strong visual for your Board presentation—instantly highlighting that </w:t>
      </w:r>
      <w:r w:rsidRPr="00511EA7">
        <w:rPr>
          <w:b/>
          <w:bCs/>
        </w:rPr>
        <w:t>Allegation C (data deletion failures)</w:t>
      </w:r>
      <w:r w:rsidRPr="00511EA7">
        <w:t xml:space="preserve"> is the most critical, while </w:t>
      </w:r>
      <w:r w:rsidRPr="00511EA7">
        <w:rPr>
          <w:b/>
          <w:bCs/>
        </w:rPr>
        <w:t>A (EU–US transfers)</w:t>
      </w:r>
      <w:r w:rsidRPr="00511EA7">
        <w:t xml:space="preserve"> and </w:t>
      </w:r>
      <w:r w:rsidRPr="00511EA7">
        <w:rPr>
          <w:b/>
          <w:bCs/>
        </w:rPr>
        <w:t>B (bribery)</w:t>
      </w:r>
      <w:r w:rsidRPr="00511EA7">
        <w:t xml:space="preserve"> are high-risk, and </w:t>
      </w:r>
      <w:r w:rsidRPr="00511EA7">
        <w:rPr>
          <w:b/>
          <w:bCs/>
        </w:rPr>
        <w:t>D (financial controls)</w:t>
      </w:r>
      <w:r w:rsidRPr="00511EA7">
        <w:t xml:space="preserve"> is medium.</w:t>
      </w:r>
    </w:p>
    <w:p w14:paraId="5F5A214C" w14:textId="77777777" w:rsidR="00511EA7" w:rsidRPr="00511EA7" w:rsidRDefault="00511EA7" w:rsidP="00511EA7">
      <w:r w:rsidRPr="00511EA7">
        <w:t xml:space="preserve">Would you like me to also prepare a </w:t>
      </w:r>
      <w:r w:rsidRPr="00511EA7">
        <w:rPr>
          <w:b/>
          <w:bCs/>
        </w:rPr>
        <w:t>short executive-style narrative</w:t>
      </w:r>
      <w:r w:rsidRPr="00511EA7">
        <w:t xml:space="preserve"> to accompany this chart, so you can present both the visual and a concise verbal framing to the Board?</w:t>
      </w:r>
    </w:p>
    <w:p w14:paraId="573A827B" w14:textId="77777777" w:rsidR="00511EA7" w:rsidRPr="00511EA7" w:rsidRDefault="00511EA7" w:rsidP="00511EA7">
      <w:r w:rsidRPr="00511EA7">
        <w:t>Here’s a concise executive-style narrative you can use to present the risk matrix to the Board:</w:t>
      </w:r>
    </w:p>
    <w:p w14:paraId="7AAC818C" w14:textId="77777777" w:rsidR="00511EA7" w:rsidRPr="00511EA7" w:rsidRDefault="00511EA7" w:rsidP="00511EA7">
      <w:r w:rsidRPr="00511EA7">
        <w:pict w14:anchorId="5A6BF37A">
          <v:rect id="_x0000_i1115" style="width:0;height:1.5pt" o:hralign="center" o:hrstd="t" o:hr="t" fillcolor="#a0a0a0" stroked="f"/>
        </w:pict>
      </w:r>
    </w:p>
    <w:p w14:paraId="46F2C208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Emoji" w:hAnsi="Segoe UI Emoji" w:cs="Segoe UI Emoji"/>
          <w:b/>
          <w:bCs/>
        </w:rPr>
        <w:t>🧭</w:t>
      </w:r>
      <w:r w:rsidRPr="00511EA7">
        <w:rPr>
          <w:b/>
          <w:bCs/>
        </w:rPr>
        <w:t xml:space="preserve"> Executive Summary: Compliance Risk Landscape</w:t>
      </w:r>
    </w:p>
    <w:p w14:paraId="6A0A9594" w14:textId="77777777" w:rsidR="00511EA7" w:rsidRPr="00511EA7" w:rsidRDefault="00511EA7" w:rsidP="00511EA7">
      <w:proofErr w:type="spellStart"/>
      <w:r w:rsidRPr="00511EA7">
        <w:t>GlobalSync</w:t>
      </w:r>
      <w:proofErr w:type="spellEnd"/>
      <w:r w:rsidRPr="00511EA7">
        <w:t xml:space="preserve"> Inc. faces four critical compliance allegations that threaten our merger, reputation, and regulatory standing. We've mapped these onto a 5x5 risk matrix to assess their severity and guide our response strategy.</w:t>
      </w:r>
    </w:p>
    <w:p w14:paraId="33194574" w14:textId="77777777" w:rsidR="00511EA7" w:rsidRPr="00511EA7" w:rsidRDefault="00511EA7" w:rsidP="00511EA7">
      <w:pPr>
        <w:numPr>
          <w:ilvl w:val="0"/>
          <w:numId w:val="7"/>
        </w:numPr>
      </w:pPr>
      <w:r w:rsidRPr="00511EA7">
        <w:rPr>
          <w:b/>
          <w:bCs/>
        </w:rPr>
        <w:t>Allegation C (Data Deletion Failures)</w:t>
      </w:r>
      <w:r w:rsidRPr="00511EA7">
        <w:t xml:space="preserve"> is the most urgent. It’s almost certain to recur and carries major legal and reputational consequences under GDPR and CCPA. This places it in the </w:t>
      </w:r>
      <w:r w:rsidRPr="00511EA7">
        <w:rPr>
          <w:b/>
          <w:bCs/>
        </w:rPr>
        <w:t>critical risk zone</w:t>
      </w:r>
      <w:r w:rsidRPr="00511EA7">
        <w:t>.</w:t>
      </w:r>
    </w:p>
    <w:p w14:paraId="6B8A4230" w14:textId="77777777" w:rsidR="00511EA7" w:rsidRPr="00511EA7" w:rsidRDefault="00511EA7" w:rsidP="00511EA7">
      <w:pPr>
        <w:numPr>
          <w:ilvl w:val="0"/>
          <w:numId w:val="7"/>
        </w:numPr>
      </w:pPr>
      <w:r w:rsidRPr="00511EA7">
        <w:rPr>
          <w:b/>
          <w:bCs/>
        </w:rPr>
        <w:t>Allegation A (Improper EU–US Data Transfers)</w:t>
      </w:r>
      <w:r w:rsidRPr="00511EA7">
        <w:t xml:space="preserve"> is highly likely and exposes us to catastrophic fines under GDPR. It sits in the </w:t>
      </w:r>
      <w:r w:rsidRPr="00511EA7">
        <w:rPr>
          <w:b/>
          <w:bCs/>
        </w:rPr>
        <w:t>high-risk zone</w:t>
      </w:r>
      <w:r w:rsidRPr="00511EA7">
        <w:t>, requiring immediate remediation.</w:t>
      </w:r>
    </w:p>
    <w:p w14:paraId="321A1D7B" w14:textId="77777777" w:rsidR="00511EA7" w:rsidRPr="00511EA7" w:rsidRDefault="00511EA7" w:rsidP="00511EA7">
      <w:pPr>
        <w:numPr>
          <w:ilvl w:val="0"/>
          <w:numId w:val="7"/>
        </w:numPr>
      </w:pPr>
      <w:r w:rsidRPr="00511EA7">
        <w:rPr>
          <w:b/>
          <w:bCs/>
        </w:rPr>
        <w:t>Allegation B (Bribery in Brazil)</w:t>
      </w:r>
      <w:r w:rsidRPr="00511EA7">
        <w:t xml:space="preserve">, while less frequent, carries severe impact under FCPA. It also falls in the </w:t>
      </w:r>
      <w:r w:rsidRPr="00511EA7">
        <w:rPr>
          <w:b/>
          <w:bCs/>
        </w:rPr>
        <w:t>high-risk zone</w:t>
      </w:r>
      <w:r w:rsidRPr="00511EA7">
        <w:t>, especially given DOJ scrutiny.</w:t>
      </w:r>
    </w:p>
    <w:p w14:paraId="2EE9BCD8" w14:textId="77777777" w:rsidR="00511EA7" w:rsidRPr="00511EA7" w:rsidRDefault="00511EA7" w:rsidP="00511EA7">
      <w:pPr>
        <w:numPr>
          <w:ilvl w:val="0"/>
          <w:numId w:val="7"/>
        </w:numPr>
      </w:pPr>
      <w:r w:rsidRPr="00511EA7">
        <w:rPr>
          <w:b/>
          <w:bCs/>
        </w:rPr>
        <w:t>Allegation D (Weak Financial Controls)</w:t>
      </w:r>
      <w:r w:rsidRPr="00511EA7">
        <w:t xml:space="preserve"> is a medium risk. It undermines investor confidence and SOX compliance but poses less immediate danger.</w:t>
      </w:r>
    </w:p>
    <w:p w14:paraId="57FE770B" w14:textId="77777777" w:rsidR="00511EA7" w:rsidRPr="00511EA7" w:rsidRDefault="00511EA7" w:rsidP="00511EA7">
      <w:r w:rsidRPr="00511EA7">
        <w:pict w14:anchorId="7A6880E9">
          <v:rect id="_x0000_i1116" style="width:0;height:1.5pt" o:hralign="center" o:hrstd="t" o:hr="t" fillcolor="#a0a0a0" stroked="f"/>
        </w:pict>
      </w:r>
    </w:p>
    <w:p w14:paraId="5829D343" w14:textId="77777777" w:rsidR="00511EA7" w:rsidRPr="00511EA7" w:rsidRDefault="00511EA7" w:rsidP="00511EA7">
      <w:pPr>
        <w:rPr>
          <w:b/>
          <w:bCs/>
        </w:rPr>
      </w:pPr>
      <w:r w:rsidRPr="00511EA7">
        <w:rPr>
          <w:rFonts w:ascii="Segoe UI Symbol" w:hAnsi="Segoe UI Symbol" w:cs="Segoe UI Symbol"/>
          <w:b/>
          <w:bCs/>
        </w:rPr>
        <w:t>🛠</w:t>
      </w:r>
      <w:r w:rsidRPr="00511EA7">
        <w:rPr>
          <w:b/>
          <w:bCs/>
        </w:rPr>
        <w:t xml:space="preserve"> Strategic Response</w:t>
      </w:r>
    </w:p>
    <w:p w14:paraId="579A8B41" w14:textId="77777777" w:rsidR="00511EA7" w:rsidRPr="00511EA7" w:rsidRDefault="00511EA7" w:rsidP="00511EA7">
      <w:r w:rsidRPr="00511EA7">
        <w:lastRenderedPageBreak/>
        <w:t>We are prioritizing:</w:t>
      </w:r>
    </w:p>
    <w:p w14:paraId="5EDD1540" w14:textId="77777777" w:rsidR="00511EA7" w:rsidRPr="00511EA7" w:rsidRDefault="00511EA7" w:rsidP="00511EA7">
      <w:pPr>
        <w:numPr>
          <w:ilvl w:val="0"/>
          <w:numId w:val="8"/>
        </w:numPr>
      </w:pPr>
      <w:r w:rsidRPr="00511EA7">
        <w:rPr>
          <w:b/>
          <w:bCs/>
        </w:rPr>
        <w:t>Immediate corrective actions</w:t>
      </w:r>
      <w:r w:rsidRPr="00511EA7">
        <w:t xml:space="preserve"> for Allegations C and A.</w:t>
      </w:r>
    </w:p>
    <w:p w14:paraId="628533E1" w14:textId="77777777" w:rsidR="00511EA7" w:rsidRPr="00511EA7" w:rsidRDefault="00511EA7" w:rsidP="00511EA7">
      <w:pPr>
        <w:numPr>
          <w:ilvl w:val="0"/>
          <w:numId w:val="8"/>
        </w:numPr>
      </w:pPr>
      <w:r w:rsidRPr="00511EA7">
        <w:rPr>
          <w:b/>
          <w:bCs/>
        </w:rPr>
        <w:t>Legal engagement and internal investigations</w:t>
      </w:r>
      <w:r w:rsidRPr="00511EA7">
        <w:t xml:space="preserve"> for Allegation B.</w:t>
      </w:r>
    </w:p>
    <w:p w14:paraId="2B2433B4" w14:textId="77777777" w:rsidR="00511EA7" w:rsidRPr="00511EA7" w:rsidRDefault="00511EA7" w:rsidP="00511EA7">
      <w:pPr>
        <w:numPr>
          <w:ilvl w:val="0"/>
          <w:numId w:val="8"/>
        </w:numPr>
      </w:pPr>
      <w:r w:rsidRPr="00511EA7">
        <w:rPr>
          <w:b/>
          <w:bCs/>
        </w:rPr>
        <w:t>Control enhancements and audit readiness</w:t>
      </w:r>
      <w:r w:rsidRPr="00511EA7">
        <w:t xml:space="preserve"> for Allegation D.</w:t>
      </w:r>
    </w:p>
    <w:p w14:paraId="26E048A0" w14:textId="77777777" w:rsidR="00511EA7" w:rsidRPr="00511EA7" w:rsidRDefault="00511EA7" w:rsidP="00511EA7">
      <w:r w:rsidRPr="00511EA7">
        <w:t>This matrix helps us focus resources where the stakes are highest and ensures our compliance posture aligns with merger expectations and global regulatory standards.</w:t>
      </w:r>
    </w:p>
    <w:p w14:paraId="054ED980" w14:textId="77777777" w:rsidR="00511EA7" w:rsidRPr="00511EA7" w:rsidRDefault="00511EA7" w:rsidP="00511EA7">
      <w:r w:rsidRPr="00511EA7">
        <w:pict w14:anchorId="16265293">
          <v:rect id="_x0000_i1117" style="width:0;height:1.5pt" o:hralign="center" o:hrstd="t" o:hr="t" fillcolor="#a0a0a0" stroked="f"/>
        </w:pict>
      </w:r>
    </w:p>
    <w:p w14:paraId="3CFABFE5" w14:textId="77777777" w:rsidR="00511EA7" w:rsidRPr="00511EA7" w:rsidRDefault="00511EA7" w:rsidP="00511EA7">
      <w:r w:rsidRPr="00511EA7">
        <w:t xml:space="preserve">Would you like me to help turn this into a </w:t>
      </w:r>
      <w:r w:rsidRPr="00511EA7">
        <w:rPr>
          <w:b/>
          <w:bCs/>
        </w:rPr>
        <w:t>slide deck format</w:t>
      </w:r>
      <w:r w:rsidRPr="00511EA7">
        <w:t xml:space="preserve"> or a </w:t>
      </w:r>
      <w:r w:rsidRPr="00511EA7">
        <w:rPr>
          <w:b/>
          <w:bCs/>
        </w:rPr>
        <w:t>Board memo</w:t>
      </w:r>
      <w:r w:rsidRPr="00511EA7">
        <w:t xml:space="preserve"> next?</w:t>
      </w:r>
    </w:p>
    <w:p w14:paraId="7CE291C0" w14:textId="77777777" w:rsidR="00511EA7" w:rsidRDefault="00511EA7"/>
    <w:sectPr w:rsidR="00511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5612"/>
    <w:multiLevelType w:val="multilevel"/>
    <w:tmpl w:val="5CB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2EC4"/>
    <w:multiLevelType w:val="multilevel"/>
    <w:tmpl w:val="8A8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172F"/>
    <w:multiLevelType w:val="multilevel"/>
    <w:tmpl w:val="38B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49F5"/>
    <w:multiLevelType w:val="multilevel"/>
    <w:tmpl w:val="F71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31D41"/>
    <w:multiLevelType w:val="multilevel"/>
    <w:tmpl w:val="085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7273C"/>
    <w:multiLevelType w:val="multilevel"/>
    <w:tmpl w:val="D6A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C6FA7"/>
    <w:multiLevelType w:val="multilevel"/>
    <w:tmpl w:val="689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D7A4C"/>
    <w:multiLevelType w:val="multilevel"/>
    <w:tmpl w:val="23F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55165">
    <w:abstractNumId w:val="6"/>
  </w:num>
  <w:num w:numId="2" w16cid:durableId="2126147599">
    <w:abstractNumId w:val="0"/>
  </w:num>
  <w:num w:numId="3" w16cid:durableId="524366930">
    <w:abstractNumId w:val="5"/>
  </w:num>
  <w:num w:numId="4" w16cid:durableId="280958291">
    <w:abstractNumId w:val="7"/>
  </w:num>
  <w:num w:numId="5" w16cid:durableId="952859485">
    <w:abstractNumId w:val="3"/>
  </w:num>
  <w:num w:numId="6" w16cid:durableId="1082872461">
    <w:abstractNumId w:val="4"/>
  </w:num>
  <w:num w:numId="7" w16cid:durableId="99764542">
    <w:abstractNumId w:val="2"/>
  </w:num>
  <w:num w:numId="8" w16cid:durableId="130399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A7"/>
    <w:rsid w:val="00255673"/>
    <w:rsid w:val="003529B7"/>
    <w:rsid w:val="004050E0"/>
    <w:rsid w:val="00511EA7"/>
    <w:rsid w:val="007900FB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C99A"/>
  <w15:chartTrackingRefBased/>
  <w15:docId w15:val="{231F46A6-47BD-4190-9818-55063005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2025-11-07T23:26:00Z</dcterms:created>
  <dcterms:modified xsi:type="dcterms:W3CDTF">2025-11-07T23:50:00Z</dcterms:modified>
</cp:coreProperties>
</file>