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9"/>
        <w:gridCol w:w="1519"/>
        <w:gridCol w:w="2624"/>
        <w:gridCol w:w="1985"/>
        <w:gridCol w:w="1842"/>
        <w:gridCol w:w="994"/>
      </w:tblGrid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8" w:type="dxa"/>
            <w:gridSpan w:val="2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5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7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-201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9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2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8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_group_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61880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61913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pBdr>
                <w:bottom w:val="single" w:sz="2" w:space="2" w:color="000000"/>
              </w:pBdr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Бизнес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Роли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Основните възможности на всеки от тях ще са :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 xml:space="preserve">Нерегистриран потребител (достъп до системата по подразбиране) – 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 xml:space="preserve">Регистриран потребител – клиент – може да поръчва и разглежда хра 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 xml:space="preserve">Широк достъп на клиентите: Потребителите могат да правят поръчки 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Специални поръчки от менюто: Преди когато клиентите искаха да нап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Лесно управление на менюто: Системата организира ястията от меню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Възможността за объркване на поръчката е елиминирана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Пести време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Ползите за собствениците са :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Конкурентно предимство пред другите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Поръчки подадени за секунди</w:t>
            </w:r>
          </w:p>
          <w:p>
            <w:pPr>
              <w:pStyle w:val="Normal"/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Обновяване на менюто по всяко време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•</w:t>
            </w:r>
            <w:r>
              <w:rPr>
                <w:rFonts w:cs="Arial" w:ascii="Arial" w:hAnsi="Arial"/>
                <w:lang w:val="bg-BG"/>
              </w:rPr>
              <w:tab/>
              <w:t>Подсигурени опции за плащане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8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Преглед </w:t>
              <w:br/>
              <w:t>на детайлите</w:t>
              <w:br/>
              <w:t>на храната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Клиентът преглежда каталога с различни Ястия, които предлага ресторанта. Може да разгледа различните Ястия поотделно и да види цената им и да поиска описание какво представляват.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Инвентарната система – системата, в която се съхранява информация за наличностите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Поръчка </w:t>
              <w:br/>
              <w:t>на храна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Клиентът поръчва определени ястия за вкъщи и Системата регистрира Поръчката, след като е проверила дали ястието може да се приготви. Предоставя се избор на Клиента как да бъде осъществена Поръчката.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Готвач – лице от кухнята на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Поръчка </w:t>
              <w:br/>
              <w:t>на храна за вкъщи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Потребителският случай разширява потребителския случай “Поръчка на храна”, като се разглежда вариантът, в който Клиентът иска да му бъде доставена Поръчката вкъщи.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Инвентарната система – системата, в която се съхранява информация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Регистрация </w:t>
              <w:br/>
              <w:t>на ваучер за отстъпка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получава отстъпка към поръчаната от него Храна, след като е заявил, че ще ползва свой Ваучер за отстъпка.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Плащане </w:t>
              <w:br/>
              <w:t>с банкова карта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заплаща за храна , която поръчва, чрез банкова карта.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Банкова система – системата, чрез която се осъществява плащането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Обратна връзка от клиентите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дава мнение за храна в ресторанта чрез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Актуализация на менюто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Мениджърът поглежда текущото меню и го актуализира, като внася промени в него.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Мениджър – грижи се за актуализирането на менюто в системата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 система – системата, в която се съхранява информация за наличностите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Доставка </w:t>
              <w:br/>
              <w:t>на поръчки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Системата дава задача на Доставчика за доставка по домовете. Доставчикът я изпълнява и потвърждава.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Доставчик – лицето, доставящо Поръчката до Клиента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Управление </w:t>
              <w:br/>
              <w:t>на поръчки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Сервитьорът управлява осъществяващите се Поръчки чрез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Сервитьор– Обслужващо лице в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Приготвяне </w:t>
              <w:br/>
              <w:t>на храната</w:t>
            </w:r>
          </w:p>
        </w:tc>
        <w:tc>
          <w:tcPr>
            <w:tcW w:w="5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Системата изпраща заявка до Готвача за приготвяне на Храна. Готвачът приготвя Храната.</w:t>
            </w:r>
          </w:p>
        </w:tc>
        <w:tc>
          <w:tcPr>
            <w:tcW w:w="51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Готвач – лицето, приготвящо Храна в Ресторанта.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link w:val="20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LibreOffice/5.4.5.1$Linux_X86_64 LibreOffice_project/40m0$Build-1</Application>
  <Pages>3</Pages>
  <Words>515</Words>
  <Characters>2988</Characters>
  <CharactersWithSpaces>3437</CharactersWithSpaces>
  <Paragraphs>83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2018-03-14T14:20:48Z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