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28"/>
        <w:gridCol w:w="1519"/>
        <w:gridCol w:w="2624"/>
        <w:gridCol w:w="1985"/>
        <w:gridCol w:w="1843"/>
        <w:gridCol w:w="994"/>
      </w:tblGrid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8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HCI_2018_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Z1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_61880_61913_855271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/>
              <w:t>Бизнес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Роли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Основните възможности на всеки от тях ще са 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Нерегистриран потребител (достъп до системата по подразбиране) – </w:t>
            </w:r>
            <w:r>
              <w:rPr>
                <w:rFonts w:cs="Arial" w:ascii="Arial" w:hAnsi="Arial"/>
                <w:lang w:val="bg-BG"/>
              </w:rPr>
              <w:t>има възможност да види демо и да разглежда публични сценарии на пътувания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Регистриран потребител – клиент – </w:t>
            </w:r>
            <w:r>
              <w:rPr>
                <w:rFonts w:cs="Arial" w:ascii="Arial" w:hAnsi="Arial"/>
                <w:lang w:val="bg-BG"/>
              </w:rPr>
              <w:t>може да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създава чеклисти за необходими неща (и по категории)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дефенира различни дейности по време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анализира място за пътуване по различни критерии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планира свои публични и приватни сценарии за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генерира маршрут чрез всички дефинирани места за посещение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публикува свои сценарии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fork()-ва и редактира сценарии публикувани от други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 начин за търсене и плащане на осигуровки, билети, хотел, rent-a-car, такси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организира пътуване заедно с други поканени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интегрира пътуване с google calendar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Регстрирани Компании – могат да предлагат свои услуги за потребители (като страховка, авиабилети, резервация на хотел, rent-a-car и др.)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По-бърза организация на пътуване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Check-lists &amp; notifications, така клиент няма да забрави да вземе нещо със себе си или че трябва да посете някакво място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Всичко в едно място: билети, хотел, карта за пътуване, маршрут, застраховка, визи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собствениците са 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По-широк пазар на клиенти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Голяма целевата аудитория, за която не трябва да пускаш реклама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Осигурена система за общуване с клиент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Автоматизирано събиране на такси от клиенти</w:t>
            </w:r>
          </w:p>
        </w:tc>
      </w:tr>
      <w:tr>
        <w:trPr/>
        <w:tc>
          <w:tcPr>
            <w:tcW w:w="949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Тестване на демо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Дефиниране на сценарий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lang w:val="bg-BG" w:eastAsia="zh-CN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Готвач – лице от кухнята на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Дефиниране на сценарий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Инвентарната система – системата, в която се съхранява информация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</w:t>
            </w:r>
            <w:r>
              <w:rPr>
                <w:rFonts w:cs="Arial" w:ascii="Arial" w:hAnsi="Arial"/>
                <w:lang w:val="bg-BG"/>
              </w:rPr>
              <w:t>и</w:t>
            </w:r>
            <w:r>
              <w:rPr>
                <w:rFonts w:cs="Arial" w:ascii="Arial" w:hAnsi="Arial"/>
                <w:lang w:val="bg-BG"/>
              </w:rPr>
              <w:t>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Компания – регестрирани компании, които дават услуги за потребители.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bg-BG"/>
              </w:rPr>
              <w:t>Създаване на чеклист с необходими неща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създава чеклист с необходими неща, задава аларми и нотификации за себе си и екипа на пътуване. Добавя в чеклист „застраховка от компания Х “, което автоматично праща заявка към ?застраховаща компания.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20_3387216103"/>
            <w:bookmarkEnd w:id="1"/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</w:t>
            </w:r>
            <w:r>
              <w:rPr>
                <w:rFonts w:cs="Arial" w:ascii="Arial" w:hAnsi="Arial"/>
                <w:b/>
                <w:lang w:val="bg-BG"/>
              </w:rPr>
              <w:t>бщуване на компании с потребители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Копмания която е получила поръчка от потребителя започва разговор с потребител по удобен за тях начин – или по телефон или по вътрешен messenger където има функционалността за сигурно плащане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link w:val="20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LibreOffice/5.4.5.1$Linux_X86_64 LibreOffice_project/40m0$Build-1</Application>
  <Pages>4</Pages>
  <Words>572</Words>
  <Characters>3395</Characters>
  <CharactersWithSpaces>3875</CharactersWithSpaces>
  <Paragraphs>84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2018-03-14T17:39:32Z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