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29893" w14:textId="1E126AF2" w:rsidR="00935C34" w:rsidRPr="00CC49BA" w:rsidRDefault="00935C34" w:rsidP="00935C34">
      <w:pPr>
        <w:pStyle w:val="NoSpacing"/>
        <w:spacing w:before="40" w:after="40"/>
        <w:jc w:val="center"/>
        <w:rPr>
          <w:b/>
          <w:bCs/>
          <w:caps/>
          <w:color w:val="4472C4" w:themeColor="accent1"/>
          <w:sz w:val="36"/>
          <w:szCs w:val="36"/>
        </w:rPr>
      </w:pPr>
      <w:r>
        <w:rPr>
          <w:b/>
          <w:sz w:val="32"/>
        </w:rPr>
        <w:t>Neighborhood Market Early-Warning System:</w:t>
        <w:br/>
        <w:t>Identifying ZIP-Level Housing Transition Signals</w:t>
        <w:br/>
        <w:t>in North Carolina and South Carolina</w:t>
      </w:r>
    </w:p>
    <w:p w14:paraId="47F37B96" w14:textId="77777777" w:rsidR="00935C34" w:rsidRDefault="00935C34" w:rsidP="00935C34">
      <w:pPr>
        <w:pStyle w:val="Heading1"/>
        <w:spacing w:before="0" w:line="240" w:lineRule="auto"/>
        <w:rPr>
          <w:rFonts w:ascii="Century Gothic" w:hAnsi="Century Gothic"/>
        </w:rPr>
      </w:pPr>
    </w:p>
    <w:p w14:paraId="151E0675" w14:textId="3ECE6660" w:rsidR="00CC49BA" w:rsidRDefault="00CC49BA" w:rsidP="00CC49BA">
      <w:pPr>
        <w:jc w:val="center"/>
        <w:rPr>
          <w:rFonts w:ascii="Century Gothic" w:hAnsi="Century Gothic"/>
          <w:color w:val="4472C4" w:themeColor="accent1"/>
          <w:sz w:val="32"/>
          <w:szCs w:val="32"/>
        </w:rPr>
      </w:pPr>
    </w:p>
    <w:p w14:paraId="4AB82AEC" w14:textId="4DA12442" w:rsidR="00CC49BA" w:rsidRPr="00CC49BA" w:rsidRDefault="00CC49BA" w:rsidP="00CC49BA">
      <w:pPr>
        <w:jc w:val="center"/>
        <w:rPr>
          <w:color w:val="4472C4" w:themeColor="accent1"/>
        </w:rPr>
      </w:pPr>
    </w:p>
    <w:p w14:paraId="10511B18" w14:textId="430935EF" w:rsidR="00DC289D" w:rsidRPr="00F51508" w:rsidRDefault="00DC289D" w:rsidP="00935C34">
      <w:pPr>
        <w:pStyle w:val="Heading1"/>
        <w:rPr>
          <w:rFonts w:ascii="Century Gothic" w:hAnsi="Century Gothic"/>
        </w:rPr>
      </w:pPr>
    </w:p>
    <w:tbl>
      <w:tblPr>
        <w:tblStyle w:val="TableGrid"/>
        <w:tblW w:w="0" w:type="auto"/>
        <w:tblLook w:val="04A0" w:firstRow="1" w:lastRow="0" w:firstColumn="1" w:lastColumn="0" w:noHBand="0" w:noVBand="1"/>
      </w:tblPr>
      <w:tblGrid>
        <w:gridCol w:w="3116"/>
        <w:gridCol w:w="3117"/>
        <w:gridCol w:w="3117"/>
      </w:tblGrid>
      <w:tr w:rsidR="0073735C" w:rsidRPr="00F51508" w14:paraId="70F847B3" w14:textId="77777777" w:rsidTr="0073735C">
        <w:tc>
          <w:tcPr>
            <w:tcW w:w="3116" w:type="dxa"/>
            <w:shd w:val="clear" w:color="auto" w:fill="2E74B5" w:themeFill="accent5" w:themeFillShade="BF"/>
          </w:tcPr>
          <w:p w14:paraId="128EBE4B" w14:textId="743B3F41" w:rsidR="0073735C" w:rsidRPr="00F51508" w:rsidRDefault="0073735C" w:rsidP="0073735C">
            <w:pPr>
              <w:jc w:val="center"/>
              <w:rPr>
                <w:rFonts w:ascii="Century Gothic" w:hAnsi="Century Gothic"/>
                <w:b/>
                <w:bCs/>
                <w:color w:val="FFFFFF" w:themeColor="background1"/>
              </w:rPr>
            </w:pPr>
            <w:r w:rsidRPr="00F51508">
              <w:rPr>
                <w:rFonts w:ascii="Century Gothic" w:hAnsi="Century Gothic"/>
                <w:b/>
                <w:bCs/>
                <w:color w:val="FFFFFF" w:themeColor="background1"/>
              </w:rPr>
              <w:t>Name</w:t>
            </w:r>
          </w:p>
        </w:tc>
        <w:tc>
          <w:tcPr>
            <w:tcW w:w="3117" w:type="dxa"/>
            <w:shd w:val="clear" w:color="auto" w:fill="2E74B5" w:themeFill="accent5" w:themeFillShade="BF"/>
          </w:tcPr>
          <w:p w14:paraId="0926EE1C" w14:textId="0DE8B778" w:rsidR="0073735C" w:rsidRPr="00F51508" w:rsidRDefault="0073735C" w:rsidP="0073735C">
            <w:pPr>
              <w:jc w:val="center"/>
              <w:rPr>
                <w:rFonts w:ascii="Century Gothic" w:hAnsi="Century Gothic"/>
                <w:b/>
                <w:bCs/>
                <w:color w:val="FFFFFF" w:themeColor="background1"/>
              </w:rPr>
            </w:pPr>
            <w:r w:rsidRPr="00F51508">
              <w:rPr>
                <w:rFonts w:ascii="Century Gothic" w:hAnsi="Century Gothic"/>
                <w:b/>
                <w:bCs/>
                <w:color w:val="FFFFFF" w:themeColor="background1"/>
              </w:rPr>
              <w:t>Email</w:t>
            </w:r>
          </w:p>
        </w:tc>
        <w:tc>
          <w:tcPr>
            <w:tcW w:w="3117" w:type="dxa"/>
            <w:shd w:val="clear" w:color="auto" w:fill="2E74B5" w:themeFill="accent5" w:themeFillShade="BF"/>
          </w:tcPr>
          <w:p w14:paraId="358957C1" w14:textId="1B2AE9BB" w:rsidR="0073735C" w:rsidRPr="00F51508" w:rsidRDefault="0073735C" w:rsidP="0073735C">
            <w:pPr>
              <w:jc w:val="center"/>
              <w:rPr>
                <w:rFonts w:ascii="Century Gothic" w:hAnsi="Century Gothic"/>
                <w:b/>
                <w:bCs/>
                <w:color w:val="FFFFFF" w:themeColor="background1"/>
              </w:rPr>
            </w:pPr>
            <w:r w:rsidRPr="00F51508">
              <w:rPr>
                <w:rFonts w:ascii="Century Gothic" w:hAnsi="Century Gothic"/>
                <w:b/>
                <w:bCs/>
                <w:color w:val="FFFFFF" w:themeColor="background1"/>
              </w:rPr>
              <w:t>Role &amp; Responsibilities</w:t>
            </w:r>
          </w:p>
        </w:tc>
      </w:tr>
      <w:tr w:rsidR="0073735C" w:rsidRPr="00F51508" w14:paraId="772B684F" w14:textId="77777777" w:rsidTr="0073735C">
        <w:tc>
          <w:tcPr>
            <w:tcW w:w="3116" w:type="dxa"/>
          </w:tcPr>
          <w:p w14:paraId="7FE38DE4" w14:textId="77777777" w:rsidR="0073735C" w:rsidRPr="00F51508" w:rsidRDefault="0073735C">
            <w:pPr>
              <w:rPr>
                <w:rFonts w:ascii="Century Gothic" w:hAnsi="Century Gothic"/>
              </w:rPr>
            </w:pPr>
          </w:p>
        </w:tc>
        <w:tc>
          <w:tcPr>
            <w:tcW w:w="3117" w:type="dxa"/>
          </w:tcPr>
          <w:p w14:paraId="57C76B5F" w14:textId="77777777" w:rsidR="0073735C" w:rsidRPr="00F51508" w:rsidRDefault="0073735C">
            <w:pPr>
              <w:rPr>
                <w:rFonts w:ascii="Century Gothic" w:hAnsi="Century Gothic"/>
              </w:rPr>
            </w:pPr>
          </w:p>
        </w:tc>
        <w:tc>
          <w:tcPr>
            <w:tcW w:w="3117" w:type="dxa"/>
          </w:tcPr>
          <w:p w14:paraId="186F0BFB" w14:textId="77777777" w:rsidR="0073735C" w:rsidRPr="00F51508" w:rsidRDefault="0073735C">
            <w:pPr>
              <w:rPr>
                <w:rFonts w:ascii="Century Gothic" w:hAnsi="Century Gothic"/>
              </w:rPr>
            </w:pPr>
          </w:p>
        </w:tc>
      </w:tr>
      <w:tr w:rsidR="0073735C" w:rsidRPr="00F51508" w14:paraId="6C5888F5" w14:textId="77777777" w:rsidTr="0073735C">
        <w:tc>
          <w:tcPr>
            <w:tcW w:w="3116" w:type="dxa"/>
          </w:tcPr>
          <w:p w14:paraId="574D8D84" w14:textId="77777777" w:rsidR="0073735C" w:rsidRPr="00F51508" w:rsidRDefault="0073735C">
            <w:pPr>
              <w:rPr>
                <w:rFonts w:ascii="Century Gothic" w:hAnsi="Century Gothic"/>
              </w:rPr>
            </w:pPr>
          </w:p>
        </w:tc>
        <w:tc>
          <w:tcPr>
            <w:tcW w:w="3117" w:type="dxa"/>
          </w:tcPr>
          <w:p w14:paraId="553AF3AB" w14:textId="77777777" w:rsidR="0073735C" w:rsidRPr="00F51508" w:rsidRDefault="0073735C">
            <w:pPr>
              <w:rPr>
                <w:rFonts w:ascii="Century Gothic" w:hAnsi="Century Gothic"/>
              </w:rPr>
            </w:pPr>
          </w:p>
        </w:tc>
        <w:tc>
          <w:tcPr>
            <w:tcW w:w="3117" w:type="dxa"/>
          </w:tcPr>
          <w:p w14:paraId="51A2C47B" w14:textId="77777777" w:rsidR="0073735C" w:rsidRPr="00F51508" w:rsidRDefault="0073735C">
            <w:pPr>
              <w:rPr>
                <w:rFonts w:ascii="Century Gothic" w:hAnsi="Century Gothic"/>
              </w:rPr>
            </w:pPr>
          </w:p>
        </w:tc>
      </w:tr>
      <w:tr w:rsidR="0073735C" w:rsidRPr="00F51508" w14:paraId="5EB78959" w14:textId="77777777" w:rsidTr="0073735C">
        <w:tc>
          <w:tcPr>
            <w:tcW w:w="3116" w:type="dxa"/>
          </w:tcPr>
          <w:p w14:paraId="1B8B1CE3" w14:textId="77777777" w:rsidR="0073735C" w:rsidRPr="00F51508" w:rsidRDefault="0073735C">
            <w:pPr>
              <w:rPr>
                <w:rFonts w:ascii="Century Gothic" w:hAnsi="Century Gothic"/>
              </w:rPr>
            </w:pPr>
          </w:p>
        </w:tc>
        <w:tc>
          <w:tcPr>
            <w:tcW w:w="3117" w:type="dxa"/>
          </w:tcPr>
          <w:p w14:paraId="42DFE9EF" w14:textId="77777777" w:rsidR="0073735C" w:rsidRPr="00F51508" w:rsidRDefault="0073735C">
            <w:pPr>
              <w:rPr>
                <w:rFonts w:ascii="Century Gothic" w:hAnsi="Century Gothic"/>
              </w:rPr>
            </w:pPr>
          </w:p>
        </w:tc>
        <w:tc>
          <w:tcPr>
            <w:tcW w:w="3117" w:type="dxa"/>
          </w:tcPr>
          <w:p w14:paraId="231E5BE1" w14:textId="77777777" w:rsidR="0073735C" w:rsidRPr="00F51508" w:rsidRDefault="0073735C">
            <w:pPr>
              <w:rPr>
                <w:rFonts w:ascii="Century Gothic" w:hAnsi="Century Gothic"/>
              </w:rPr>
            </w:pPr>
          </w:p>
        </w:tc>
      </w:tr>
    </w:tbl>
    <w:p w14:paraId="46452CF6" w14:textId="77777777" w:rsidR="0073735C" w:rsidRPr="00F51508" w:rsidRDefault="0073735C">
      <w:pPr>
        <w:rPr>
          <w:rFonts w:ascii="Century Gothic" w:hAnsi="Century Gothic"/>
        </w:rPr>
      </w:pPr>
    </w:p>
    <w:p w14:paraId="070F37EC" w14:textId="75088F62" w:rsidR="00DC289D" w:rsidRPr="00F51508" w:rsidRDefault="00935C34" w:rsidP="00DC289D">
      <w:pPr>
        <w:pStyle w:val="Heading1"/>
        <w:rPr>
          <w:rFonts w:ascii="Century Gothic" w:hAnsi="Century Gothic"/>
        </w:rPr>
      </w:pPr>
    </w:p>
    <w:p w14:paraId="15AA91B2" w14:textId="77E306AF" w:rsidR="00935C34" w:rsidRDefault="00935C34" w:rsidP="00016F5B">
      <w:pPr>
        <w:rPr>
          <w:rFonts w:ascii="Century Gothic" w:hAnsi="Century Gothic"/>
          <w:i/>
          <w:iCs/>
        </w:rPr>
      </w:pPr>
    </w:p>
    <w:p w14:paraId="5FACE577" w14:textId="62F627B7" w:rsidR="00F51508" w:rsidRPr="00F51508" w:rsidRDefault="00F51508" w:rsidP="00935C34">
      <w:pPr>
        <w:rPr>
          <w:rFonts w:ascii="Century Gothic" w:hAnsi="Century Gothic"/>
          <w:i/>
          <w:iCs/>
        </w:rPr>
      </w:pPr>
    </w:p>
    <w:p w14:paraId="55D0ADDE" w14:textId="5B8466BA" w:rsidR="00935C34" w:rsidRDefault="00935C34" w:rsidP="00016F5B">
      <w:pPr>
        <w:rPr>
          <w:rFonts w:ascii="Century Gothic" w:hAnsi="Century Gothic"/>
          <w:i/>
          <w:iCs/>
        </w:rPr>
      </w:pPr>
    </w:p>
    <w:p w14:paraId="6172B232" w14:textId="77777777" w:rsidR="00935C34" w:rsidRPr="00F51508" w:rsidRDefault="00935C34" w:rsidP="00935C34">
      <w:pPr>
        <w:rPr>
          <w:rFonts w:ascii="Century Gothic" w:hAnsi="Century Gothic"/>
          <w:i/>
          <w:iCs/>
        </w:rPr>
      </w:pPr>
    </w:p>
    <w:p w14:paraId="6DEFDF66" w14:textId="77777777" w:rsidR="007B52D7" w:rsidRDefault="007B52D7" w:rsidP="007B52D7">
      <w:pPr>
        <w:rPr>
          <w:rFonts w:ascii="Century Gothic" w:hAnsi="Century Gothic"/>
          <w:i/>
          <w:iCs/>
        </w:rPr>
      </w:pPr>
    </w:p>
    <w:p w14:paraId="265A3ABA" w14:textId="77777777" w:rsidR="007B52D7" w:rsidRDefault="007B52D7" w:rsidP="007B52D7">
      <w:pPr>
        <w:rPr>
          <w:rFonts w:ascii="Century Gothic" w:hAnsi="Century Gothic"/>
          <w:i/>
          <w:iCs/>
        </w:rPr>
      </w:pPr>
    </w:p>
    <w:p w14:paraId="7FE31D94" w14:textId="77777777" w:rsidR="00623094" w:rsidRPr="00F51508" w:rsidRDefault="00623094" w:rsidP="00F51508">
      <w:pPr>
        <w:rPr>
          <w:rFonts w:ascii="Century Gothic" w:hAnsi="Century Gothic"/>
          <w:i/>
          <w:iCs/>
        </w:rPr>
      </w:pPr>
    </w:p>
    <w:p w14:paraId="3B2C42B9" w14:textId="07E28904" w:rsidR="00DC289D" w:rsidRDefault="00A02FB0" w:rsidP="00A02FB0">
      <w:pPr>
        <w:pStyle w:val="Heading1"/>
        <w:rPr>
          <w:rFonts w:ascii="Century Gothic" w:hAnsi="Century Gothic"/>
        </w:rPr>
      </w:pPr>
    </w:p>
    <w:p w14:paraId="21DA4AE6" w14:textId="11D4E5E5" w:rsidR="00A02FB0" w:rsidRPr="00A73A75" w:rsidRDefault="00A02FB0" w:rsidP="00935C34">
      <w:pPr>
        <w:rPr>
          <w:rFonts w:ascii="Century Gothic" w:hAnsi="Century Gothic"/>
          <w:i/>
          <w:iCs/>
        </w:rPr>
      </w:pPr>
    </w:p>
    <w:p w14:paraId="69A751B5" w14:textId="3C69BF71" w:rsidR="00A02FB0" w:rsidRPr="00F51508" w:rsidRDefault="00A02FB0" w:rsidP="00A02FB0">
      <w:pPr>
        <w:pStyle w:val="Heading2"/>
        <w:rPr>
          <w:rFonts w:ascii="Century Gothic" w:hAnsi="Century Gothic"/>
        </w:rPr>
      </w:pPr>
    </w:p>
    <w:p w14:paraId="15F1A097" w14:textId="7016CBA6" w:rsidR="00A02FB0" w:rsidRPr="00F51508" w:rsidRDefault="007B52D7" w:rsidP="00A73A75">
      <w:pPr>
        <w:rPr>
          <w:rFonts w:ascii="Century Gothic" w:hAnsi="Century Gothic"/>
          <w:i/>
          <w:iCs/>
        </w:rPr>
      </w:pPr>
    </w:p>
    <w:p w14:paraId="04A8C11C" w14:textId="77777777" w:rsidR="00A73A75" w:rsidRDefault="00A73A75" w:rsidP="00A73A75">
      <w:pPr>
        <w:rPr>
          <w:rFonts w:ascii="Century Gothic" w:hAnsi="Century Gothic"/>
          <w:i/>
          <w:iCs/>
        </w:rPr>
      </w:pPr>
    </w:p>
    <w:p w14:paraId="1106B5D6" w14:textId="1E6A05E5" w:rsidR="00A02FB0" w:rsidRPr="00A02FB0" w:rsidRDefault="00A02FB0" w:rsidP="00A02FB0"/>
    <w:p w14:paraId="7BA0B37B" w14:textId="4D71C92D" w:rsidR="00DC289D" w:rsidRPr="00F51508" w:rsidRDefault="000F790C" w:rsidP="00A73A75">
      <w:pPr>
        <w:pStyle w:val="Heading2"/>
        <w:rPr>
          <w:rFonts w:ascii="Century Gothic" w:hAnsi="Century Gothic"/>
        </w:rPr>
      </w:pPr>
    </w:p>
    <w:p w14:paraId="03F9756F" w14:textId="2360CF90" w:rsidR="00A73A75" w:rsidRDefault="007B52D7" w:rsidP="007B52D7">
      <w:pPr>
        <w:rPr>
          <w:rFonts w:ascii="Century Gothic" w:hAnsi="Century Gothic"/>
          <w:i/>
          <w:iCs/>
        </w:rPr>
      </w:pPr>
    </w:p>
    <w:p w14:paraId="64F62813" w14:textId="6EE07800" w:rsidR="00F51508" w:rsidRDefault="00F51508" w:rsidP="00935C34">
      <w:pPr>
        <w:rPr>
          <w:rFonts w:ascii="Century Gothic" w:hAnsi="Century Gothic"/>
          <w:i/>
          <w:iCs/>
        </w:rPr>
      </w:pPr>
    </w:p>
    <w:p w14:paraId="1746FAD7" w14:textId="16B8760B" w:rsidR="00A73A75" w:rsidRPr="00A73A75" w:rsidRDefault="00A73A75" w:rsidP="00A73A75">
      <w:pPr>
        <w:rPr>
          <w:rFonts w:ascii="Century Gothic" w:hAnsi="Century Gothic"/>
          <w:i/>
          <w:iCs/>
        </w:rPr>
      </w:pPr>
    </w:p>
    <w:p w14:paraId="7C1EFF34" w14:textId="439D76EB" w:rsidR="00F51508" w:rsidRDefault="00A73A75" w:rsidP="00CC49BA">
      <w:pPr>
        <w:rPr>
          <w:rFonts w:ascii="Century Gothic" w:hAnsi="Century Gothic"/>
          <w:i/>
          <w:iCs/>
        </w:rPr>
      </w:pPr>
    </w:p>
    <w:p w14:paraId="0FF2A62C" w14:textId="305C3448" w:rsidR="00E409FA" w:rsidRPr="00F51508" w:rsidRDefault="00E409FA" w:rsidP="00E409FA">
      <w:pPr>
        <w:pStyle w:val="Heading2"/>
        <w:rPr>
          <w:rFonts w:ascii="Century Gothic" w:hAnsi="Century Gothic"/>
        </w:rPr>
      </w:pPr>
    </w:p>
    <w:p w14:paraId="55122B79" w14:textId="276B5AB7" w:rsidR="00E409FA" w:rsidRDefault="00E409FA" w:rsidP="00F51508">
      <w:pPr>
        <w:rPr>
          <w:rFonts w:ascii="Century Gothic" w:hAnsi="Century Gothic"/>
          <w:i/>
          <w:iCs/>
        </w:rPr>
      </w:pPr>
    </w:p>
    <w:p w14:paraId="5C83D7CD" w14:textId="77777777" w:rsidR="00E409FA" w:rsidRPr="00F51508" w:rsidRDefault="00E409FA" w:rsidP="00F51508">
      <w:pPr>
        <w:rPr>
          <w:rFonts w:ascii="Century Gothic" w:hAnsi="Century Gothic"/>
          <w:i/>
          <w:iCs/>
        </w:rPr>
      </w:pPr>
    </w:p>
    <w:p w14:paraId="587699A3" w14:textId="2B33D756" w:rsidR="00DC289D" w:rsidRPr="00F51508" w:rsidRDefault="00A02FB0" w:rsidP="00A02FB0">
      <w:pPr>
        <w:pStyle w:val="Heading1"/>
        <w:rPr>
          <w:rFonts w:ascii="Century Gothic" w:hAnsi="Century Gothic"/>
        </w:rPr>
      </w:pPr>
    </w:p>
    <w:p w14:paraId="4E835541" w14:textId="73B9428D" w:rsidR="00A02FB0" w:rsidRPr="00A73A75" w:rsidRDefault="00A02FB0" w:rsidP="00A02FB0">
      <w:pPr>
        <w:rPr>
          <w:rFonts w:ascii="Century Gothic" w:hAnsi="Century Gothic"/>
          <w:i/>
          <w:iCs/>
        </w:rPr>
      </w:pPr>
    </w:p>
    <w:p w14:paraId="7A315B14" w14:textId="33408D8E" w:rsidR="00F51508" w:rsidRPr="00F51508" w:rsidRDefault="00F51508" w:rsidP="00F51508">
      <w:pPr>
        <w:rPr>
          <w:rFonts w:ascii="Century Gothic" w:hAnsi="Century Gothic"/>
          <w:i/>
          <w:iCs/>
        </w:rPr>
      </w:pPr>
    </w:p>
    <w:p w14:paraId="38B27CB8" w14:textId="77777777" w:rsidR="00A73A75" w:rsidRPr="00F51508" w:rsidRDefault="00A73A75" w:rsidP="00DC289D">
      <w:pPr>
        <w:rPr>
          <w:rFonts w:ascii="Century Gothic" w:hAnsi="Century Gothic"/>
        </w:rPr>
      </w:pPr>
    </w:p>
    <w:p w14:paraId="51C12C3B" w14:textId="119B29DF" w:rsidR="00DC289D" w:rsidRPr="00F51508" w:rsidRDefault="00A02FB0" w:rsidP="00A02FB0">
      <w:pPr>
        <w:pStyle w:val="Heading1"/>
        <w:rPr>
          <w:rFonts w:ascii="Century Gothic" w:hAnsi="Century Gothic"/>
        </w:rPr>
      </w:pPr>
    </w:p>
    <w:p w14:paraId="69D35854" w14:textId="67003694" w:rsidR="00A02FB0" w:rsidRPr="00A73A75" w:rsidRDefault="00A02FB0" w:rsidP="00A02FB0">
      <w:pPr>
        <w:rPr>
          <w:rFonts w:ascii="Century Gothic" w:hAnsi="Century Gothic"/>
          <w:i/>
          <w:iCs/>
        </w:rPr>
      </w:pPr>
    </w:p>
    <w:p w14:paraId="528003D4" w14:textId="3AE1219D" w:rsidR="00F51508" w:rsidRDefault="00F51508" w:rsidP="00F51508">
      <w:pPr>
        <w:rPr>
          <w:rFonts w:ascii="Century Gothic" w:hAnsi="Century Gothic"/>
          <w:i/>
          <w:iCs/>
        </w:rPr>
      </w:pPr>
    </w:p>
    <w:p w14:paraId="25CF3A7C" w14:textId="2F28CFF3" w:rsidR="00A02FB0" w:rsidRPr="00A73A75" w:rsidRDefault="00A02FB0" w:rsidP="00F51508">
      <w:pPr>
        <w:rPr>
          <w:rFonts w:ascii="Century Gothic" w:hAnsi="Century Gothic"/>
          <w:i/>
          <w:iCs/>
          <w:color w:val="000000"/>
        </w:rPr>
      </w:pPr>
    </w:p>
    <w:p w14:paraId="6A5DADB1" w14:textId="77777777" w:rsidR="00A02FB0" w:rsidRDefault="00A02FB0" w:rsidP="00A02FB0">
      <w:pPr>
        <w:rPr>
          <w:rFonts w:ascii="Century Gothic" w:hAnsi="Century Gothic"/>
          <w:i/>
          <w:iCs/>
        </w:rPr>
      </w:pPr>
    </w:p>
    <w:p w14:paraId="134BDDB5" w14:textId="77777777" w:rsidR="00A02FB0" w:rsidRPr="00F51508" w:rsidRDefault="00A02FB0" w:rsidP="00F51508">
      <w:pPr>
        <w:rPr>
          <w:rFonts w:ascii="Century Gothic" w:hAnsi="Century Gothic"/>
          <w:i/>
          <w:iCs/>
        </w:rPr>
      </w:pPr>
    </w:p>
    <w:p w14:paraId="009316EE" w14:textId="24B6F1CA" w:rsidR="00DC289D" w:rsidRPr="00F51508" w:rsidRDefault="00A02FB0" w:rsidP="00DC289D">
      <w:pPr>
        <w:pStyle w:val="Heading1"/>
        <w:rPr>
          <w:rFonts w:ascii="Century Gothic" w:hAnsi="Century Gothic"/>
        </w:rPr>
      </w:pPr>
    </w:p>
    <w:p w14:paraId="25E36947" w14:textId="3AB62B64" w:rsidR="00DC289D" w:rsidRPr="00A73A75" w:rsidRDefault="00A02FB0" w:rsidP="00016F5B">
      <w:pPr>
        <w:rPr>
          <w:rFonts w:ascii="Century Gothic" w:hAnsi="Century Gothic"/>
          <w:i/>
          <w:iCs/>
        </w:rPr>
      </w:pPr>
    </w:p>
    <w:p w14:paraId="740134C0" w14:textId="77777777" w:rsidR="00F51508" w:rsidRPr="00F51508" w:rsidRDefault="00F51508" w:rsidP="00F51508">
      <w:pPr>
        <w:rPr>
          <w:rFonts w:ascii="Century Gothic" w:hAnsi="Century Gothic"/>
          <w:i/>
          <w:iCs/>
        </w:rPr>
      </w:pPr>
    </w:p>
    <w:p w14:paraId="6FB8AA12" w14:textId="4FF6034F" w:rsidR="007B52D7" w:rsidRDefault="007B52D7" w:rsidP="007B52D7">
      <w:pPr>
        <w:rPr>
          <w:rFonts w:ascii="Century Gothic" w:hAnsi="Century Gothic"/>
          <w:i/>
          <w:iCs/>
        </w:rPr>
      </w:pPr>
    </w:p>
    <w:p w14:paraId="1A6162FC" w14:textId="77777777" w:rsidR="007B52D7" w:rsidRPr="000F790C" w:rsidRDefault="007B52D7" w:rsidP="007B52D7">
      <w:pPr>
        <w:rPr>
          <w:rFonts w:ascii="Century Gothic" w:hAnsi="Century Gothic"/>
          <w:i/>
          <w:iCs/>
        </w:rPr>
      </w:pPr>
    </w:p>
    <w:p w14:paraId="1F8AA47E" w14:textId="570359AA" w:rsidR="00F51508" w:rsidRPr="00A73A75" w:rsidRDefault="007B52D7" w:rsidP="00DC289D">
      <w:pPr>
        <w:rPr>
          <w:rFonts w:ascii="Century Gothic" w:hAnsi="Century Gothic"/>
          <w:i/>
          <w:iCs/>
        </w:rPr>
      </w:pPr>
    </w:p>
    <w:p w14:paraId="3409539A" w14:textId="2BE9BFD2" w:rsidR="00F51508" w:rsidRPr="00F51508" w:rsidRDefault="00F51508" w:rsidP="00F51508">
      <w:pPr>
        <w:rPr>
          <w:rFonts w:ascii="Century Gothic" w:hAnsi="Century Gothic"/>
          <w:i/>
          <w:iCs/>
        </w:rPr>
      </w:pPr>
    </w:p>
    <w:p w14:paraId="6F4B3A52" w14:textId="68C0C0CF" w:rsidR="00F51508" w:rsidRPr="00F51508" w:rsidRDefault="0080207B" w:rsidP="00DC289D">
      <w:pPr>
        <w:rPr>
          <w:rFonts w:ascii="Century Gothic" w:hAnsi="Century Gothic"/>
        </w:rPr>
      </w:pPr>
    </w:p>
    <w:p w14:paraId="73CED96B" w14:textId="446C8E9F" w:rsidR="00F51508" w:rsidRDefault="00F51508" w:rsidP="00F51508">
      <w:pPr>
        <w:pStyle w:val="Heading1"/>
        <w:rPr>
          <w:rFonts w:ascii="Century Gothic" w:hAnsi="Century Gothic"/>
        </w:rPr>
      </w:pPr>
    </w:p>
    <w:p w14:paraId="13A82FE6" w14:textId="34E97405" w:rsidR="00A02FB0" w:rsidRPr="000F790C" w:rsidRDefault="00A73A75" w:rsidP="00A73A75">
      <w:pPr>
        <w:rPr>
          <w:rFonts w:ascii="Century Gothic" w:hAnsi="Century Gothic"/>
          <w:i/>
          <w:iCs/>
        </w:rPr>
      </w:pPr>
    </w:p>
    <w:p w14:paraId="4A8F8FF9" w14:textId="39F8C946" w:rsidR="00DC289D" w:rsidRPr="00CC49BA" w:rsidRDefault="00F51508" w:rsidP="00CC49BA">
      <w:pPr>
        <w:rPr>
          <w:rFonts w:ascii="Century Gothic" w:hAnsi="Century Gothic"/>
          <w:i/>
          <w:iCs/>
        </w:rPr>
      </w:pPr>
    </w:p>
    <w:p/>
    <w:p>
      <w:pPr>
        <w:jc w:val="center"/>
      </w:pPr>
      <w:r>
        <w:rPr>
          <w:i/>
        </w:rPr>
        <w:t>Business Intelligence &amp; Analytics — Spring 2026</w:t>
      </w:r>
    </w:p>
    <w:p>
      <w:pPr>
        <w:jc w:val="center"/>
      </w:pPr>
      <w:r>
        <w:t>Date: April 4, 2026</w:t>
      </w:r>
    </w:p>
    <w:p/>
    <w:p>
      <w:pPr>
        <w:pStyle w:val="Heading1"/>
      </w:pPr>
      <w:r>
        <w:t>Group Members</w:t>
      </w:r>
    </w:p>
    <w:p>
      <w:pPr/>
      <w:r>
        <w:t>[Group member names]</w:t>
      </w:r>
    </w:p>
    <w:p>
      <w:pPr>
        <w:pStyle w:val="Heading1"/>
      </w:pPr>
      <w:r>
        <w:t>Introduction</w:t>
      </w:r>
    </w:p>
    <w:p>
      <w:pPr/>
      <w:r>
        <w:t>Housing markets across North Carolina and South Carolina have experienced accelerating change since 2019, driven by population growth, remote-work migration, and historically low mortgage rates. Neighborhood transition—the sustained shift of a local housing market from one price or activity regime to another—poses significant challenges for investors, planners, lenders, and community stakeholders. Historically, these actors have been forced to react after home prices, listing activity, and market competitiveness have already shifted substantially, leaving little time to make informed decisions. A systematic, data-driven early-warning system that monitors measurable leading indicators and predicts near-term neighborhood transitions would allow stakeholders to anticipate change rather than simply respond to it.</w:t>
      </w:r>
    </w:p>
    <w:p>
      <w:pPr/>
      <w:r>
        <w:t>This project develops such a system for 655 ZIP codes across NC and SC, integrating six public data sources into a monthly panel dataset spanning June 2019 through December 2023. The system combines unsupervised clustering to characterize neighborhood market archetypes with a supervised predictive model that forecasts whether a ZIP code will enter an upward transition state within the next 12 months. Through systematic model comparison, the final deployed model uses only monthly Zillow and Redfin data (18 features), achieving AUC = 0.8652 on a 2023 test set.</w:t>
      </w:r>
    </w:p>
    <w:p>
      <w:pPr/>
      <w:r>
        <w:t>The project addresses four specific research questions:</w:t>
      </w:r>
    </w:p>
    <w:p>
      <w:pPr>
        <w:pStyle w:val="ListParagraph"/>
      </w:pPr>
      <w:r>
        <w:t>Which ZIP codes show the strongest signs of emerging transition pressure?</w:t>
      </w:r>
    </w:p>
    <w:p>
      <w:pPr>
        <w:pStyle w:val="ListParagraph"/>
      </w:pPr>
      <w:r>
        <w:t>Are there distinct neighborhood market archetypes across ZIP codes, and how do they differ?</w:t>
      </w:r>
    </w:p>
    <w:p>
      <w:pPr>
        <w:pStyle w:val="ListParagraph"/>
      </w:pPr>
      <w:r>
        <w:t>Can past and current housing, demographic, business, and economic indicators predict whether a ZIP will enter a transition state within the next 12 months?</w:t>
      </w:r>
    </w:p>
    <w:p>
      <w:pPr>
        <w:pStyle w:val="ListParagraph"/>
      </w:pPr>
      <w:r>
        <w:t>Which leading indicators contribute most to that prediction?</w:t>
      </w:r>
    </w:p>
    <w:p>
      <w:pPr/>
      <w:r>
        <w:t>Related work on neighborhood change employs a range of quantitative approaches. Kang et al. (2020) demonstrated that sequence methods can detect distinct neighborhood trajectories in U.S. cities when applied to longitudinal socioeconomic data [1]. Ling and Delmelle (2016) combined self-organizing maps and k-means clustering to classify multidimensional neighborhood trajectories, finding that market-oriented metrics were among the most discriminating features [2]. Delmelle et al. (2022) proposed a spatially integrated GIScience framework linking local market signals to broader regional processes [3]. Silver et al. (2021) modeled urban neighborhood evolution as a Markov process, emphasizing transition probabilities between states [4]. Bunten et al. (2024) revisited gentrification measurement, arguing that composite indicators outperform single-variable proxies [5]. These works collectively motivate the use of engineered composite targets, ZIP-level clustering, and time-aware walk-forward validation in this project.</w:t>
      </w:r>
    </w:p>
    <w:p>
      <w:pPr>
        <w:pStyle w:val="Heading1"/>
      </w:pPr>
      <w:r>
        <w:t>Method</w:t>
      </w:r>
    </w:p>
    <w:p>
      <w:pPr>
        <w:pStyle w:val="Heading2"/>
      </w:pPr>
      <w:r>
        <w:t>Dataset(s)</w:t>
      </w:r>
    </w:p>
    <w:p>
      <w:pPr/>
      <w:r>
        <w:t>The analytic dataset integrates six public data sources aligned at the ZIP code and monthly level. Table 1 summarizes each source and its contribution.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Source</w:t>
            </w:r>
          </w:p>
        </w:tc>
        <w:tc>
          <w:tcPr>
            <w:tcW w:type="dxa" w:w="2340"/>
          </w:tcPr>
          <w:p>
            <w:r>
              <w:rPr>
                <w:b/>
              </w:rPr>
              <w:t>Contribution</w:t>
            </w:r>
          </w:p>
        </w:tc>
        <w:tc>
          <w:tcPr>
            <w:tcW w:type="dxa" w:w="2340"/>
          </w:tcPr>
          <w:p>
            <w:r>
              <w:rPr>
                <w:b/>
              </w:rPr>
              <w:t>Frequency</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r>
              <w:t>1</w:t>
            </w:r>
          </w:p>
        </w:tc>
        <w:tc>
          <w:tcPr>
            <w:tcW w:type="dxa" w:w="2340"/>
          </w:tcPr>
          <w:p>
            <w:r>
              <w:t>Zillow Research (ZHVI)</w:t>
            </w:r>
          </w:p>
        </w:tc>
        <w:tc>
          <w:tcPr>
            <w:tcW w:type="dxa" w:w="2340"/>
          </w:tcPr>
          <w:p>
            <w:r>
              <w:t>Home Value Index, ZIP universe definition</w:t>
            </w:r>
          </w:p>
        </w:tc>
        <w:tc>
          <w:tcPr>
            <w:tcW w:type="dxa" w:w="2340"/>
          </w:tcPr>
          <w:p>
            <w:r>
              <w:t>Monthly</w:t>
            </w:r>
          </w:p>
        </w:tc>
      </w:tr>
      <w:tr>
        <w:tc>
          <w:tcPr>
            <w:tcW w:type="dxa" w:w="2340"/>
          </w:tcPr>
          <w:p>
            <w:r>
              <w:t>2</w:t>
            </w:r>
          </w:p>
        </w:tc>
        <w:tc>
          <w:tcPr>
            <w:tcW w:type="dxa" w:w="2340"/>
          </w:tcPr>
          <w:p>
            <w:r>
              <w:t>Redfin Market Tracker</w:t>
            </w:r>
          </w:p>
        </w:tc>
        <w:tc>
          <w:tcPr>
            <w:tcW w:type="dxa" w:w="2340"/>
          </w:tcPr>
          <w:p>
            <w:r>
              <w:t>Sale/list price, inventory, days on market, sale-to-list ratio, % sold above list</w:t>
            </w:r>
          </w:p>
        </w:tc>
        <w:tc>
          <w:tcPr>
            <w:tcW w:type="dxa" w:w="2340"/>
          </w:tcPr>
          <w:p>
            <w:r>
              <w:t>Monthly</w:t>
            </w:r>
          </w:p>
        </w:tc>
      </w:tr>
      <w:tr>
        <w:tc>
          <w:tcPr>
            <w:tcW w:type="dxa" w:w="2340"/>
          </w:tcPr>
          <w:p>
            <w:r>
              <w:t>3</w:t>
            </w:r>
          </w:p>
        </w:tc>
        <w:tc>
          <w:tcPr>
            <w:tcW w:type="dxa" w:w="2340"/>
          </w:tcPr>
          <w:p>
            <w:r>
              <w:t>ACS 5-Year Estimates (U.S. Census)</w:t>
            </w:r>
          </w:p>
        </w:tc>
        <w:tc>
          <w:tcPr>
            <w:tcW w:type="dxa" w:w="2340"/>
          </w:tcPr>
          <w:p>
            <w:r>
              <w:t>Median household income, median gross rent, median owner home value, owner-occupancy rate</w:t>
            </w:r>
          </w:p>
        </w:tc>
        <w:tc>
          <w:tcPr>
            <w:tcW w:type="dxa" w:w="2340"/>
          </w:tcPr>
          <w:p>
            <w:r>
              <w:t>Annual</w:t>
            </w:r>
          </w:p>
        </w:tc>
      </w:tr>
      <w:tr>
        <w:tc>
          <w:tcPr>
            <w:tcW w:type="dxa" w:w="2340"/>
          </w:tcPr>
          <w:p>
            <w:r>
              <w:t>4</w:t>
            </w:r>
          </w:p>
        </w:tc>
        <w:tc>
          <w:tcPr>
            <w:tcW w:type="dxa" w:w="2340"/>
          </w:tcPr>
          <w:p>
            <w:r>
              <w:t>County Business Patterns (U.S. Census)</w:t>
            </w:r>
          </w:p>
        </w:tc>
        <w:tc>
          <w:tcPr>
            <w:tcW w:type="dxa" w:w="2340"/>
          </w:tcPr>
          <w:p>
            <w:r>
              <w:t>Business establishments, total employment, average pay per employee</w:t>
            </w:r>
          </w:p>
        </w:tc>
        <w:tc>
          <w:tcPr>
            <w:tcW w:type="dxa" w:w="2340"/>
          </w:tcPr>
          <w:p>
            <w:r>
              <w:t>Annual</w:t>
            </w:r>
          </w:p>
        </w:tc>
      </w:tr>
      <w:tr>
        <w:tc>
          <w:tcPr>
            <w:tcW w:type="dxa" w:w="2340"/>
          </w:tcPr>
          <w:p>
            <w:r>
              <w:t>5</w:t>
            </w:r>
          </w:p>
        </w:tc>
        <w:tc>
          <w:tcPr>
            <w:tcW w:type="dxa" w:w="2340"/>
          </w:tcPr>
          <w:p>
            <w:r>
              <w:t>IRS Statistics of Income</w:t>
            </w:r>
          </w:p>
        </w:tc>
        <w:tc>
          <w:tcPr>
            <w:tcW w:type="dxa" w:w="2340"/>
          </w:tcPr>
          <w:p>
            <w:r>
              <w:t>Tax returns filed, adjusted gross income, taxable interest income</w:t>
            </w:r>
          </w:p>
        </w:tc>
        <w:tc>
          <w:tcPr>
            <w:tcW w:type="dxa" w:w="2340"/>
          </w:tcPr>
          <w:p>
            <w:r>
              <w:t>Annual</w:t>
            </w:r>
          </w:p>
        </w:tc>
      </w:tr>
      <w:tr>
        <w:tc>
          <w:tcPr>
            <w:tcW w:type="dxa" w:w="2340"/>
          </w:tcPr>
          <w:p>
            <w:r>
              <w:t>6</w:t>
            </w:r>
          </w:p>
        </w:tc>
        <w:tc>
          <w:tcPr>
            <w:tcW w:type="dxa" w:w="2340"/>
          </w:tcPr>
          <w:p>
            <w:r>
              <w:t>Freddie Mac PMMS</w:t>
            </w:r>
          </w:p>
        </w:tc>
        <w:tc>
          <w:tcPr>
            <w:tcW w:type="dxa" w:w="2340"/>
          </w:tcPr>
          <w:p>
            <w:r>
              <w:t>30-year fixed and ARM mortgage rates (national)</w:t>
            </w:r>
          </w:p>
        </w:tc>
        <w:tc>
          <w:tcPr>
            <w:tcW w:type="dxa" w:w="2340"/>
          </w:tcPr>
          <w:p>
            <w:r>
              <w:t>Weekly → Monthly</w:t>
            </w:r>
          </w:p>
        </w:tc>
      </w:tr>
    </w:tbl>
    <w:p>
      <w:pPr/>
      <w:r>
        <w:rPr>
          <w:i/>
        </w:rPr>
        <w:t>Table 1. Data sources integrated into the analytic dataset.</w:t>
      </w:r>
    </w:p>
    <w:p>
      <w:pPr/>
      <w:r>
        <w:t>The complete panel contains 36,025 ZIP-month observations across 655 ZIP codes covering June 2019 through December 2023 (55 months). Annual contextual variables (ACS, CBP, IRS) were aligned to the monthly panel by carrying each year’s values forward to corresponding monthly rows. After feature engineering, the dataset contains 74 features prior to selection.</w:t>
      </w:r>
    </w:p>
    <w:p>
      <w:pPr/>
      <w:r>
        <w:t>Target variables were engineered from a composite transition score computed as the average z-scored 12-month forward delta in three dimensions—home value growth, inventory change, and market competitiveness (sale-to-list ratio)—each measured against that ZIP’s own trailing baseline. The binary target (transition_next_12m = 1) is triggered when the composite score exceeds the 75th percentile; the three-class target (transition_direction) uses the 25th and 75th percentiles to assign labels of −1 (down), 0 (stable), and +1 (up), yielding an approximately balanced 25/50/25 class split.</w:t>
      </w:r>
    </w:p>
    <w:tbl>
      <w:tblPr>
        <w:tblStyle w:val="TableGrid"/>
        <w:tblW w:type="auto" w:w="0"/>
        <w:tblLook w:firstColumn="1" w:firstRow="1" w:lastColumn="0" w:lastRow="0" w:noHBand="0" w:noVBand="1" w:val="04A0"/>
      </w:tblPr>
      <w:tblGrid>
        <w:gridCol w:w="4680"/>
        <w:gridCol w:w="4680"/>
      </w:tblGrid>
      <w:tr>
        <w:tc>
          <w:tcPr>
            <w:tcW w:type="dxa" w:w="4680"/>
          </w:tcPr>
          <w:p>
            <w:r>
              <w:rPr>
                <w:b/>
              </w:rPr>
              <w:t>Attribute</w:t>
            </w:r>
          </w:p>
        </w:tc>
        <w:tc>
          <w:tcPr>
            <w:tcW w:type="dxa" w:w="4680"/>
          </w:tcPr>
          <w:p>
            <w:r>
              <w:rPr>
                <w:b/>
              </w:rPr>
              <w:t>Value</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r>
              <w:t>Total ZIP-month observations</w:t>
            </w:r>
          </w:p>
        </w:tc>
        <w:tc>
          <w:tcPr>
            <w:tcW w:type="dxa" w:w="4680"/>
          </w:tcPr>
          <w:p>
            <w:r>
              <w:t>36,025</w:t>
            </w:r>
          </w:p>
        </w:tc>
      </w:tr>
      <w:tr>
        <w:tc>
          <w:tcPr>
            <w:tcW w:type="dxa" w:w="4680"/>
          </w:tcPr>
          <w:p>
            <w:r>
              <w:t>ZIP codes covered</w:t>
            </w:r>
          </w:p>
        </w:tc>
        <w:tc>
          <w:tcPr>
            <w:tcW w:type="dxa" w:w="4680"/>
          </w:tcPr>
          <w:p>
            <w:r>
              <w:t>655 (NC and SC)</w:t>
            </w:r>
          </w:p>
        </w:tc>
      </w:tr>
      <w:tr>
        <w:tc>
          <w:tcPr>
            <w:tcW w:type="dxa" w:w="4680"/>
          </w:tcPr>
          <w:p>
            <w:r>
              <w:t>Date range</w:t>
            </w:r>
          </w:p>
        </w:tc>
        <w:tc>
          <w:tcPr>
            <w:tcW w:type="dxa" w:w="4680"/>
          </w:tcPr>
          <w:p>
            <w:r>
              <w:t>June 2019 – December 2023</w:t>
            </w:r>
          </w:p>
        </w:tc>
      </w:tr>
      <w:tr>
        <w:tc>
          <w:tcPr>
            <w:tcW w:type="dxa" w:w="4680"/>
          </w:tcPr>
          <w:p>
            <w:r>
              <w:t>Features after engineering (pre-selection)</w:t>
            </w:r>
          </w:p>
        </w:tc>
        <w:tc>
          <w:tcPr>
            <w:tcW w:type="dxa" w:w="4680"/>
          </w:tcPr>
          <w:p>
            <w:r>
              <w:t>74</w:t>
            </w:r>
          </w:p>
        </w:tc>
      </w:tr>
      <w:tr>
        <w:tc>
          <w:tcPr>
            <w:tcW w:type="dxa" w:w="4680"/>
          </w:tcPr>
          <w:p>
            <w:r>
              <w:t>Final model (Monthly-Only) features after RFECV</w:t>
            </w:r>
          </w:p>
        </w:tc>
        <w:tc>
          <w:tcPr>
            <w:tcW w:type="dxa" w:w="4680"/>
          </w:tcPr>
          <w:p>
            <w:r>
              <w:t>18</w:t>
            </w:r>
          </w:p>
        </w:tc>
      </w:tr>
      <w:tr>
        <w:tc>
          <w:tcPr>
            <w:tcW w:type="dxa" w:w="4680"/>
          </w:tcPr>
          <w:p>
            <w:r>
              <w:t>Research benchmark (V3) features after RFECV</w:t>
            </w:r>
          </w:p>
        </w:tc>
        <w:tc>
          <w:tcPr>
            <w:tcW w:type="dxa" w:w="4680"/>
          </w:tcPr>
          <w:p>
            <w:r>
              <w:t>39</w:t>
            </w:r>
          </w:p>
        </w:tc>
      </w:tr>
      <w:tr>
        <w:tc>
          <w:tcPr>
            <w:tcW w:type="dxa" w:w="4680"/>
          </w:tcPr>
          <w:p>
            <w:r>
              <w:t>Binary target: % labeled upward transition</w:t>
            </w:r>
          </w:p>
        </w:tc>
        <w:tc>
          <w:tcPr>
            <w:tcW w:type="dxa" w:w="4680"/>
          </w:tcPr>
          <w:p>
            <w:r>
              <w:t>25.0%</w:t>
            </w:r>
          </w:p>
        </w:tc>
      </w:tr>
      <w:tr>
        <w:tc>
          <w:tcPr>
            <w:tcW w:type="dxa" w:w="4680"/>
          </w:tcPr>
          <w:p>
            <w:r>
              <w:t>Final model test period (Fold C)</w:t>
            </w:r>
          </w:p>
        </w:tc>
        <w:tc>
          <w:tcPr>
            <w:tcW w:type="dxa" w:w="4680"/>
          </w:tcPr>
          <w:p>
            <w:r>
              <w:t>January – December 2023 (7,860 ZIP-months)</w:t>
            </w:r>
          </w:p>
        </w:tc>
      </w:tr>
    </w:tbl>
    <w:p>
      <w:pPr/>
      <w:r>
        <w:rPr>
          <w:i/>
        </w:rPr>
        <w:t>Table 2. Descriptive statistics of the analytic dataset.</w:t>
      </w:r>
    </w:p>
    <w:p>
      <w:pPr>
        <w:pStyle w:val="Heading2"/>
      </w:pPr>
      <w:r>
        <w:t>Data Analytical Model(s)</w:t>
      </w:r>
    </w:p>
    <w:p>
      <w:pPr/>
      <w:r>
        <w:t>The analytical pipeline proceeds in two parallel tracks: unsupervised clustering to characterize neighborhood archetypes, and supervised classification to predict near-term transition.</w:t>
      </w:r>
    </w:p>
    <w:p>
      <w:pPr/>
      <w:r>
        <w:rPr>
          <w:b/>
        </w:rPr>
        <w:t>Unsupervised Clustering</w:t>
      </w:r>
    </w:p>
    <w:p>
      <w:pPr/>
      <w:r>
        <w:t>K-Means clustering (k=5) was applied to a 655 × 22 ZIP-level feature matrix constructed from 16 mean-level features and 6 trend-slope features summarizing each ZIP’s housing market behavior. All features were standardized before clustering. The number of clusters was selected by evaluating silhouette scores for k = 2 through 12; k = 5 balanced interpretability with cluster quality (silhouette = 0.16). K-Means was preferred over hierarchical clustering (Ward), which produced a lower silhouette at k = 5.</w:t>
      </w:r>
    </w:p>
    <w:p>
      <w:pPr/>
      <w:r>
        <w:rPr>
          <w:b/>
        </w:rPr>
        <w:t>Supervised Classification</w:t>
      </w:r>
    </w:p>
    <w:p>
      <w:pPr/>
      <w:r>
        <w:t>Three model families were evaluated: Logistic Regression (interpretable baseline), Random Forest, and Gradient Boosting. All models used walk-forward (time-ordered) validation to prevent future data leakage. Two parallel modeling tracks were developed and compared:</w:t>
      </w:r>
    </w:p>
    <w:p>
      <w:pPr>
        <w:pStyle w:val="ListParagraph"/>
      </w:pPr>
      <w:r>
        <w:t>V3 (Research Benchmark): All 6 data sources, 39 RFECV-selected features, 2-fold walk-forward validation (test years 2020 and 2021)</w:t>
      </w:r>
    </w:p>
    <w:p>
      <w:pPr>
        <w:pStyle w:val="ListParagraph"/>
      </w:pPr>
      <w:r>
        <w:t>Monthly-Only (Final Model): Zillow + Redfin only, 18 RFECV-selected features, 3-fold walk-forward validation (test years 2021, 2022, and 2023)</w:t>
      </w:r>
    </w:p>
    <w:p>
      <w:pPr/>
      <w:r>
        <w:t>The Monthly-Only model was developed after permutation importance analysis showed that the 17 annual ACS, CBP, and IRS features ranked #12–#27 out of all features (importance values 0.0008–0.0024, compared to 0.046 for the top feature). Removing these low-signal annual features and rerunning RFECV on monthly-only data produced a cleaner 18-feature model that outperformed V3 on AUC (0.8652 vs. 0.8519) while also supporting a third validation fold and faster future updates (no annual survey lag).</w:t>
      </w:r>
    </w:p>
    <w:p>
      <w:pPr/>
      <w:r>
        <w:t>Mortgage rate features (30-year fixed and ARM spread) were removed prior to both modeling tracks because they carry zero cross-ZIP variance within any month—they capture national temporal trends, not ZIP-specific signal.</w:t>
      </w:r>
    </w:p>
    <w:p>
      <w:pPr/>
      <w:r>
        <w:t>Walk-forward validation folds: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Fold</w:t>
            </w:r>
          </w:p>
        </w:tc>
        <w:tc>
          <w:tcPr>
            <w:tcW w:type="dxa" w:w="1872"/>
          </w:tcPr>
          <w:p>
            <w:r>
              <w:rPr>
                <w:b/>
              </w:rPr>
              <w:t>Model Track</w:t>
            </w:r>
          </w:p>
        </w:tc>
        <w:tc>
          <w:tcPr>
            <w:tcW w:type="dxa" w:w="1872"/>
          </w:tcPr>
          <w:p>
            <w:r>
              <w:rPr>
                <w:b/>
              </w:rPr>
              <w:t>Train Period</w:t>
            </w:r>
          </w:p>
        </w:tc>
        <w:tc>
          <w:tcPr>
            <w:tcW w:type="dxa" w:w="1872"/>
          </w:tcPr>
          <w:p>
            <w:r>
              <w:rPr>
                <w:b/>
              </w:rPr>
              <w:t>Test Period</w:t>
            </w:r>
          </w:p>
        </w:tc>
        <w:tc>
          <w:tcPr>
            <w:tcW w:type="dxa" w:w="1872"/>
          </w:tcPr>
          <w:p>
            <w:r>
              <w:rPr>
                <w:b/>
              </w:rPr>
              <w:t>Test Rows</w:t>
            </w: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r>
              <w:t>A</w:t>
            </w:r>
          </w:p>
        </w:tc>
        <w:tc>
          <w:tcPr>
            <w:tcW w:type="dxa" w:w="1872"/>
          </w:tcPr>
          <w:p>
            <w:r>
              <w:t>V3</w:t>
            </w:r>
          </w:p>
        </w:tc>
        <w:tc>
          <w:tcPr>
            <w:tcW w:type="dxa" w:w="1872"/>
          </w:tcPr>
          <w:p>
            <w:r>
              <w:t>Jun–Dec 2019</w:t>
            </w:r>
          </w:p>
        </w:tc>
        <w:tc>
          <w:tcPr>
            <w:tcW w:type="dxa" w:w="1872"/>
          </w:tcPr>
          <w:p>
            <w:r>
              <w:t>Jan–Dec 2020</w:t>
            </w:r>
          </w:p>
        </w:tc>
        <w:tc>
          <w:tcPr>
            <w:tcW w:type="dxa" w:w="1872"/>
          </w:tcPr>
          <w:p>
            <w:r>
              <w:t>7,992</w:t>
            </w:r>
          </w:p>
        </w:tc>
      </w:tr>
      <w:tr>
        <w:tc>
          <w:tcPr>
            <w:tcW w:type="dxa" w:w="1872"/>
          </w:tcPr>
          <w:p>
            <w:r>
              <w:t>B</w:t>
            </w:r>
          </w:p>
        </w:tc>
        <w:tc>
          <w:tcPr>
            <w:tcW w:type="dxa" w:w="1872"/>
          </w:tcPr>
          <w:p>
            <w:r>
              <w:t>V3 (primary)</w:t>
            </w:r>
          </w:p>
        </w:tc>
        <w:tc>
          <w:tcPr>
            <w:tcW w:type="dxa" w:w="1872"/>
          </w:tcPr>
          <w:p>
            <w:r>
              <w:t>Jun 2019–Dec 2020</w:t>
            </w:r>
          </w:p>
        </w:tc>
        <w:tc>
          <w:tcPr>
            <w:tcW w:type="dxa" w:w="1872"/>
          </w:tcPr>
          <w:p>
            <w:r>
              <w:t>Jan–Dec 2021</w:t>
            </w:r>
          </w:p>
        </w:tc>
        <w:tc>
          <w:tcPr>
            <w:tcW w:type="dxa" w:w="1872"/>
          </w:tcPr>
          <w:p>
            <w:r>
              <w:t>7,992</w:t>
            </w:r>
          </w:p>
        </w:tc>
      </w:tr>
      <w:tr>
        <w:tc>
          <w:tcPr>
            <w:tcW w:type="dxa" w:w="1872"/>
          </w:tcPr>
          <w:p>
            <w:r>
              <w:t>A</w:t>
            </w:r>
          </w:p>
        </w:tc>
        <w:tc>
          <w:tcPr>
            <w:tcW w:type="dxa" w:w="1872"/>
          </w:tcPr>
          <w:p>
            <w:r>
              <w:t>Monthly-Only</w:t>
            </w:r>
          </w:p>
        </w:tc>
        <w:tc>
          <w:tcPr>
            <w:tcW w:type="dxa" w:w="1872"/>
          </w:tcPr>
          <w:p>
            <w:r>
              <w:t>Jun 2019–Dec 2020</w:t>
            </w:r>
          </w:p>
        </w:tc>
        <w:tc>
          <w:tcPr>
            <w:tcW w:type="dxa" w:w="1872"/>
          </w:tcPr>
          <w:p>
            <w:r>
              <w:t>Jan–Dec 2021</w:t>
            </w:r>
          </w:p>
        </w:tc>
        <w:tc>
          <w:tcPr>
            <w:tcW w:type="dxa" w:w="1872"/>
          </w:tcPr>
          <w:p>
            <w:r>
              <w:t>7,992</w:t>
            </w:r>
          </w:p>
        </w:tc>
      </w:tr>
      <w:tr>
        <w:tc>
          <w:tcPr>
            <w:tcW w:type="dxa" w:w="1872"/>
          </w:tcPr>
          <w:p>
            <w:r>
              <w:t>B</w:t>
            </w:r>
          </w:p>
        </w:tc>
        <w:tc>
          <w:tcPr>
            <w:tcW w:type="dxa" w:w="1872"/>
          </w:tcPr>
          <w:p>
            <w:r>
              <w:t>Monthly-Only</w:t>
            </w:r>
          </w:p>
        </w:tc>
        <w:tc>
          <w:tcPr>
            <w:tcW w:type="dxa" w:w="1872"/>
          </w:tcPr>
          <w:p>
            <w:r>
              <w:t>Jun 2019–Dec 2021</w:t>
            </w:r>
          </w:p>
        </w:tc>
        <w:tc>
          <w:tcPr>
            <w:tcW w:type="dxa" w:w="1872"/>
          </w:tcPr>
          <w:p>
            <w:r>
              <w:t>Jan–Dec 2022</w:t>
            </w:r>
          </w:p>
        </w:tc>
        <w:tc>
          <w:tcPr>
            <w:tcW w:type="dxa" w:w="1872"/>
          </w:tcPr>
          <w:p>
            <w:r>
              <w:t>∼7,900</w:t>
            </w:r>
          </w:p>
        </w:tc>
      </w:tr>
      <w:tr>
        <w:tc>
          <w:tcPr>
            <w:tcW w:type="dxa" w:w="1872"/>
          </w:tcPr>
          <w:p>
            <w:r>
              <w:t>C</w:t>
            </w:r>
          </w:p>
        </w:tc>
        <w:tc>
          <w:tcPr>
            <w:tcW w:type="dxa" w:w="1872"/>
          </w:tcPr>
          <w:p>
            <w:r>
              <w:t>Monthly-Only (primary)</w:t>
            </w:r>
          </w:p>
        </w:tc>
        <w:tc>
          <w:tcPr>
            <w:tcW w:type="dxa" w:w="1872"/>
          </w:tcPr>
          <w:p>
            <w:r>
              <w:t>Jun 2019–Dec 2022</w:t>
            </w:r>
          </w:p>
        </w:tc>
        <w:tc>
          <w:tcPr>
            <w:tcW w:type="dxa" w:w="1872"/>
          </w:tcPr>
          <w:p>
            <w:r>
              <w:t>Jan–Dec 2023</w:t>
            </w:r>
          </w:p>
        </w:tc>
        <w:tc>
          <w:tcPr>
            <w:tcW w:type="dxa" w:w="1872"/>
          </w:tcPr>
          <w:p>
            <w:r>
              <w:t>7,860</w:t>
            </w:r>
          </w:p>
        </w:tc>
      </w:tr>
    </w:tbl>
    <w:p>
      <w:pPr/>
      <w:r>
        <w:rPr>
          <w:i/>
        </w:rPr>
        <w:t>Table 3. Walk-forward validation folds by model track.</w:t>
      </w:r>
    </w:p>
    <w:p>
      <w:pPr>
        <w:pStyle w:val="Heading2"/>
      </w:pPr>
      <w:r>
        <w:t>Selected Evaluation Metrics</w:t>
      </w:r>
    </w:p>
    <w:p>
      <w:pPr/>
      <w:r>
        <w:t>For binary classification, the primary metric is Area Under the ROC Curve (AUC-ROC), which measures discriminative ability across all probability thresholds and is robust to the 25/75 class imbalance. Supporting metrics include F1 score, precision, and recall.</w:t>
      </w:r>
    </w:p>
    <w:p>
      <w:pPr/>
      <w:r>
        <w:t>For the three-class direction model, macro-averaged F1 is the primary metric, weighting each class (Down, Stable, Up) equally regardless of support. All metrics are reported on each model’s primary test fold. Permutation importance computed on the test set ranks features by their actual out-of-sample contribution.</w:t>
      </w:r>
    </w:p>
    <w:p>
      <w:pPr>
        <w:pStyle w:val="Heading1"/>
      </w:pPr>
      <w:r>
        <w:t>Results</w:t>
      </w:r>
    </w:p>
    <w:p>
      <w:pPr/>
      <w:r>
        <w:rPr>
          <w:b/>
        </w:rPr>
        <w:t>Clustering Results</w:t>
      </w:r>
    </w:p>
    <w:p>
      <w:pPr/>
      <w:r>
        <w:t>K-Means with k = 5 identified five distinct neighborhood market archetypes across the 655 ZIP codes (Table 4). The average silhouette score of 0.16 reflects moderate cluster separation, expected for housing market data that exists on a continuous spectrum.</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Cluster Name</w:t>
            </w:r>
          </w:p>
        </w:tc>
        <w:tc>
          <w:tcPr>
            <w:tcW w:type="dxa" w:w="3120"/>
          </w:tcPr>
          <w:p>
            <w:r>
              <w:rPr>
                <w:b/>
              </w:rPr>
              <w:t>ZIPs</w:t>
            </w:r>
          </w:p>
        </w:tc>
        <w:tc>
          <w:tcPr>
            <w:tcW w:type="dxa" w:w="3120"/>
          </w:tcPr>
          <w:p>
            <w:r>
              <w:rPr>
                <w:b/>
              </w:rPr>
              <w:t>Key Characteristics</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r>
              <w:t>competitive_mid_market</w:t>
            </w:r>
          </w:p>
        </w:tc>
        <w:tc>
          <w:tcPr>
            <w:tcW w:type="dxa" w:w="3120"/>
          </w:tcPr>
          <w:p>
            <w:r>
              <w:t>211</w:t>
            </w:r>
          </w:p>
        </w:tc>
        <w:tc>
          <w:tcPr>
            <w:tcW w:type="dxa" w:w="3120"/>
          </w:tcPr>
          <w:p>
            <w:r>
              <w:t>Strong sale-to-list ratios, moderate-to-high home values, active transaction volume; largest cluster</w:t>
            </w:r>
          </w:p>
        </w:tc>
      </w:tr>
      <w:tr>
        <w:tc>
          <w:tcPr>
            <w:tcW w:type="dxa" w:w="3120"/>
          </w:tcPr>
          <w:p>
            <w:r>
              <w:t>affordable_high_demand</w:t>
            </w:r>
          </w:p>
        </w:tc>
        <w:tc>
          <w:tcPr>
            <w:tcW w:type="dxa" w:w="3120"/>
          </w:tcPr>
          <w:p>
            <w:r>
              <w:t>172</w:t>
            </w:r>
          </w:p>
        </w:tc>
        <w:tc>
          <w:tcPr>
            <w:tcW w:type="dxa" w:w="3120"/>
          </w:tcPr>
          <w:p>
            <w:r>
              <w:t>Below-median prices with rising demand pressure; affordability-driven transition risk</w:t>
            </w:r>
          </w:p>
        </w:tc>
      </w:tr>
      <w:tr>
        <w:tc>
          <w:tcPr>
            <w:tcW w:type="dxa" w:w="3120"/>
          </w:tcPr>
          <w:p>
            <w:r>
              <w:t>moderate_supply_growing</w:t>
            </w:r>
          </w:p>
        </w:tc>
        <w:tc>
          <w:tcPr>
            <w:tcW w:type="dxa" w:w="3120"/>
          </w:tcPr>
          <w:p>
            <w:r>
              <w:t>154</w:t>
            </w:r>
          </w:p>
        </w:tc>
        <w:tc>
          <w:tcPr>
            <w:tcW w:type="dxa" w:w="3120"/>
          </w:tcPr>
          <w:p>
            <w:r>
              <w:t>Moderate activity with gradual appreciation and growing new listings</w:t>
            </w:r>
          </w:p>
        </w:tc>
      </w:tr>
      <w:tr>
        <w:tc>
          <w:tcPr>
            <w:tcW w:type="dxa" w:w="3120"/>
          </w:tcPr>
          <w:p>
            <w:r>
              <w:t>high_value_appreciating</w:t>
            </w:r>
          </w:p>
        </w:tc>
        <w:tc>
          <w:tcPr>
            <w:tcW w:type="dxa" w:w="3120"/>
          </w:tcPr>
          <w:p>
            <w:r>
              <w:t>74</w:t>
            </w:r>
          </w:p>
        </w:tc>
        <w:tc>
          <w:tcPr>
            <w:tcW w:type="dxa" w:w="3120"/>
          </w:tcPr>
          <w:p>
            <w:r>
              <w:t>High absolute home values with above-average appreciation rates</w:t>
            </w:r>
          </w:p>
        </w:tc>
      </w:tr>
      <w:tr>
        <w:tc>
          <w:tcPr>
            <w:tcW w:type="dxa" w:w="3120"/>
          </w:tcPr>
          <w:p>
            <w:r>
              <w:t>low_activity_cooling</w:t>
            </w:r>
          </w:p>
        </w:tc>
        <w:tc>
          <w:tcPr>
            <w:tcW w:type="dxa" w:w="3120"/>
          </w:tcPr>
          <w:p>
            <w:r>
              <w:t>44</w:t>
            </w:r>
          </w:p>
        </w:tc>
        <w:tc>
          <w:tcPr>
            <w:tcW w:type="dxa" w:w="3120"/>
          </w:tcPr>
          <w:p>
            <w:r>
              <w:t>Low transaction volume, flat or declining prices, high days on market; smallest cluster</w:t>
            </w:r>
          </w:p>
        </w:tc>
      </w:tr>
    </w:tbl>
    <w:p>
      <w:pPr/>
      <w:r>
        <w:rPr>
          <w:i/>
        </w:rPr>
        <w:t>Table 4. K-Means cluster summary (k = 5, silhouette = 0.16).</w:t>
      </w:r>
    </w:p>
    <w:p>
      <w:pPr/>
      <w:r>
        <w:rPr>
          <w:b/>
        </w:rPr>
        <w:t>Model Comparison and Version History</w:t>
      </w:r>
    </w:p>
    <w:p>
      <w:pPr/>
      <w:r>
        <w:t>Table 5 shows the full model version history and the comparison between V3 (all data sources) and the Monthly-Only model (Zillow + Redfin only) that was adopted as the final production model.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Version</w:t>
            </w:r>
          </w:p>
        </w:tc>
        <w:tc>
          <w:tcPr>
            <w:tcW w:type="dxa" w:w="1560"/>
          </w:tcPr>
          <w:p>
            <w:r>
              <w:rPr>
                <w:b/>
              </w:rPr>
              <w:t>Data Sources</w:t>
            </w:r>
          </w:p>
        </w:tc>
        <w:tc>
          <w:tcPr>
            <w:tcW w:type="dxa" w:w="1560"/>
          </w:tcPr>
          <w:p>
            <w:r>
              <w:rPr>
                <w:b/>
              </w:rPr>
              <w:t>Features</w:t>
            </w:r>
          </w:p>
        </w:tc>
        <w:tc>
          <w:tcPr>
            <w:tcW w:type="dxa" w:w="1560"/>
          </w:tcPr>
          <w:p>
            <w:r>
              <w:rPr>
                <w:b/>
              </w:rPr>
              <w:t>Test Year</w:t>
            </w:r>
          </w:p>
        </w:tc>
        <w:tc>
          <w:tcPr>
            <w:tcW w:type="dxa" w:w="1560"/>
          </w:tcPr>
          <w:p>
            <w:r>
              <w:rPr>
                <w:b/>
              </w:rPr>
              <w:t>Best AUC</w:t>
            </w:r>
          </w:p>
        </w:tc>
        <w:tc>
          <w:tcPr>
            <w:tcW w:type="dxa" w:w="1560"/>
          </w:tcPr>
          <w:p>
            <w:r>
              <w:rPr>
                <w:b/>
              </w:rPr>
              <w:t>Decision</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tcPr>
          <w:p>
            <w:r>
              <w:t>V1 (baseline)</w:t>
            </w:r>
          </w:p>
        </w:tc>
        <w:tc>
          <w:tcPr>
            <w:tcW w:type="dxa" w:w="1560"/>
          </w:tcPr>
          <w:p>
            <w:r>
              <w:t>All 6 sources incl. mortgage</w:t>
            </w:r>
          </w:p>
        </w:tc>
        <w:tc>
          <w:tcPr>
            <w:tcW w:type="dxa" w:w="1560"/>
          </w:tcPr>
          <w:p>
            <w:r>
              <w:t>71</w:t>
            </w:r>
          </w:p>
        </w:tc>
        <w:tc>
          <w:tcPr>
            <w:tcW w:type="dxa" w:w="1560"/>
          </w:tcPr>
          <w:p>
            <w:r>
              <w:t>2021</w:t>
            </w:r>
          </w:p>
        </w:tc>
        <w:tc>
          <w:tcPr>
            <w:tcW w:type="dxa" w:w="1560"/>
          </w:tcPr>
          <w:p>
            <w:r>
              <w:t>0.8607 (RF)</w:t>
            </w:r>
          </w:p>
        </w:tc>
        <w:tc>
          <w:tcPr>
            <w:tcW w:type="dxa" w:w="1560"/>
          </w:tcPr>
          <w:p>
            <w:r>
              <w:t>Benchmark</w:t>
            </w:r>
          </w:p>
        </w:tc>
      </w:tr>
      <w:tr>
        <w:tc>
          <w:tcPr>
            <w:tcW w:type="dxa" w:w="1560"/>
          </w:tcPr>
          <w:p>
            <w:r>
              <w:t>V2</w:t>
            </w:r>
          </w:p>
        </w:tc>
        <w:tc>
          <w:tcPr>
            <w:tcW w:type="dxa" w:w="1560"/>
          </w:tcPr>
          <w:p>
            <w:r>
              <w:t>All 6 sources, no mortgage</w:t>
            </w:r>
          </w:p>
        </w:tc>
        <w:tc>
          <w:tcPr>
            <w:tcW w:type="dxa" w:w="1560"/>
          </w:tcPr>
          <w:p>
            <w:r>
              <w:t>69</w:t>
            </w:r>
          </w:p>
        </w:tc>
        <w:tc>
          <w:tcPr>
            <w:tcW w:type="dxa" w:w="1560"/>
          </w:tcPr>
          <w:p>
            <w:r>
              <w:t>2021</w:t>
            </w:r>
          </w:p>
        </w:tc>
        <w:tc>
          <w:tcPr>
            <w:tcW w:type="dxa" w:w="1560"/>
          </w:tcPr>
          <w:p>
            <w:r>
              <w:t>0.8473 (RF)</w:t>
            </w:r>
          </w:p>
        </w:tc>
        <w:tc>
          <w:tcPr>
            <w:tcW w:type="dxa" w:w="1560"/>
          </w:tcPr>
          <w:p>
            <w:r>
              <w:t>Mortgage removed — no ZIP signal</w:t>
            </w:r>
          </w:p>
        </w:tc>
      </w:tr>
      <w:tr>
        <w:tc>
          <w:tcPr>
            <w:tcW w:type="dxa" w:w="1560"/>
          </w:tcPr>
          <w:p>
            <w:r>
              <w:t>V3</w:t>
            </w:r>
          </w:p>
        </w:tc>
        <w:tc>
          <w:tcPr>
            <w:tcW w:type="dxa" w:w="1560"/>
          </w:tcPr>
          <w:p>
            <w:r>
              <w:t>All 6 sources, no mortgage</w:t>
            </w:r>
          </w:p>
        </w:tc>
        <w:tc>
          <w:tcPr>
            <w:tcW w:type="dxa" w:w="1560"/>
          </w:tcPr>
          <w:p>
            <w:r>
              <w:t>39</w:t>
            </w:r>
          </w:p>
        </w:tc>
        <w:tc>
          <w:tcPr>
            <w:tcW w:type="dxa" w:w="1560"/>
          </w:tcPr>
          <w:p>
            <w:r>
              <w:t>2021</w:t>
            </w:r>
          </w:p>
        </w:tc>
        <w:tc>
          <w:tcPr>
            <w:tcW w:type="dxa" w:w="1560"/>
          </w:tcPr>
          <w:p>
            <w:r>
              <w:t>0.8519 (GB)</w:t>
            </w:r>
          </w:p>
        </w:tc>
        <w:tc>
          <w:tcPr>
            <w:tcW w:type="dxa" w:w="1560"/>
          </w:tcPr>
          <w:p>
            <w:r>
              <w:t>Research benchmark after RFECV</w:t>
            </w:r>
          </w:p>
        </w:tc>
      </w:tr>
      <w:tr>
        <w:tc>
          <w:tcPr>
            <w:tcW w:type="dxa" w:w="1560"/>
          </w:tcPr>
          <w:p>
            <w:r>
              <w:t>Monthly-Only</w:t>
            </w:r>
          </w:p>
        </w:tc>
        <w:tc>
          <w:tcPr>
            <w:tcW w:type="dxa" w:w="1560"/>
          </w:tcPr>
          <w:p>
            <w:r>
              <w:t>Zillow + Redfin only</w:t>
            </w:r>
          </w:p>
        </w:tc>
        <w:tc>
          <w:tcPr>
            <w:tcW w:type="dxa" w:w="1560"/>
          </w:tcPr>
          <w:p>
            <w:r>
              <w:t>18</w:t>
            </w:r>
          </w:p>
        </w:tc>
        <w:tc>
          <w:tcPr>
            <w:tcW w:type="dxa" w:w="1560"/>
          </w:tcPr>
          <w:p>
            <w:r>
              <w:t>2023</w:t>
            </w:r>
          </w:p>
        </w:tc>
        <w:tc>
          <w:tcPr>
            <w:tcW w:type="dxa" w:w="1560"/>
          </w:tcPr>
          <w:p>
            <w:r>
              <w:t>0.8652 (GB)</w:t>
            </w:r>
          </w:p>
        </w:tc>
        <w:tc>
          <w:tcPr>
            <w:tcW w:type="dxa" w:w="1560"/>
          </w:tcPr>
          <w:p>
            <w:r>
              <w:t>✅ Final production model</w:t>
            </w:r>
          </w:p>
        </w:tc>
      </w:tr>
    </w:tbl>
    <w:p>
      <w:pPr/>
      <w:r>
        <w:rPr>
          <w:i/>
        </w:rPr>
        <w:t>Table 5. Model version history and selection rationale.</w:t>
      </w:r>
    </w:p>
    <w:p>
      <w:pPr/>
      <w:r>
        <w:rPr>
          <w:b/>
        </w:rPr>
        <w:t>Final Model: Monthly-Only Binary Classification</w:t>
      </w:r>
    </w:p>
    <w:p>
      <w:pPr/>
      <w:r>
        <w:t>The Monthly-Only Gradient Boosting model with 18 features was selected as the production model. Table 6 presents its performance across all three walk-forward folds.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Fold</w:t>
            </w:r>
          </w:p>
        </w:tc>
        <w:tc>
          <w:tcPr>
            <w:tcW w:type="dxa" w:w="2340"/>
          </w:tcPr>
          <w:p>
            <w:r>
              <w:rPr>
                <w:b/>
              </w:rPr>
              <w:t>Train Period</w:t>
            </w:r>
          </w:p>
        </w:tc>
        <w:tc>
          <w:tcPr>
            <w:tcW w:type="dxa" w:w="2340"/>
          </w:tcPr>
          <w:p>
            <w:r>
              <w:rPr>
                <w:b/>
              </w:rPr>
              <w:t>Test Period</w:t>
            </w:r>
          </w:p>
        </w:tc>
        <w:tc>
          <w:tcPr>
            <w:tcW w:type="dxa" w:w="2340"/>
          </w:tcPr>
          <w:p>
            <w:r>
              <w:rPr>
                <w:b/>
              </w:rPr>
              <w:t>AUC</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r>
              <w:t>A</w:t>
            </w:r>
          </w:p>
        </w:tc>
        <w:tc>
          <w:tcPr>
            <w:tcW w:type="dxa" w:w="2340"/>
          </w:tcPr>
          <w:p>
            <w:r>
              <w:t>Jun 2019–Dec 2020</w:t>
            </w:r>
          </w:p>
        </w:tc>
        <w:tc>
          <w:tcPr>
            <w:tcW w:type="dxa" w:w="2340"/>
          </w:tcPr>
          <w:p>
            <w:r>
              <w:t>Jan–Dec 2021</w:t>
            </w:r>
          </w:p>
        </w:tc>
        <w:tc>
          <w:tcPr>
            <w:tcW w:type="dxa" w:w="2340"/>
          </w:tcPr>
          <w:p>
            <w:r>
              <w:t>0.8443</w:t>
            </w:r>
          </w:p>
        </w:tc>
      </w:tr>
      <w:tr>
        <w:tc>
          <w:tcPr>
            <w:tcW w:type="dxa" w:w="2340"/>
          </w:tcPr>
          <w:p>
            <w:r>
              <w:t>B</w:t>
            </w:r>
          </w:p>
        </w:tc>
        <w:tc>
          <w:tcPr>
            <w:tcW w:type="dxa" w:w="2340"/>
          </w:tcPr>
          <w:p>
            <w:r>
              <w:t>Jun 2019–Dec 2021</w:t>
            </w:r>
          </w:p>
        </w:tc>
        <w:tc>
          <w:tcPr>
            <w:tcW w:type="dxa" w:w="2340"/>
          </w:tcPr>
          <w:p>
            <w:r>
              <w:t>Jan–Dec 2022</w:t>
            </w:r>
          </w:p>
        </w:tc>
        <w:tc>
          <w:tcPr>
            <w:tcW w:type="dxa" w:w="2340"/>
          </w:tcPr>
          <w:p>
            <w:r>
              <w:t>0.8153</w:t>
            </w:r>
          </w:p>
        </w:tc>
      </w:tr>
      <w:tr>
        <w:tc>
          <w:tcPr>
            <w:tcW w:type="dxa" w:w="2340"/>
          </w:tcPr>
          <w:p>
            <w:r>
              <w:t>C (primary)</w:t>
            </w:r>
          </w:p>
        </w:tc>
        <w:tc>
          <w:tcPr>
            <w:tcW w:type="dxa" w:w="2340"/>
          </w:tcPr>
          <w:p>
            <w:r>
              <w:t>Jun 2019–Dec 2022</w:t>
            </w:r>
          </w:p>
        </w:tc>
        <w:tc>
          <w:tcPr>
            <w:tcW w:type="dxa" w:w="2340"/>
          </w:tcPr>
          <w:p>
            <w:r>
              <w:t>Jan–Dec 2023</w:t>
            </w:r>
          </w:p>
        </w:tc>
        <w:tc>
          <w:tcPr>
            <w:tcW w:type="dxa" w:w="2340"/>
          </w:tcPr>
          <w:p>
            <w:r>
              <w:t>0.8652</w:t>
            </w:r>
          </w:p>
        </w:tc>
      </w:tr>
    </w:tbl>
    <w:p>
      <w:pPr/>
      <w:r>
        <w:rPr>
          <w:i/>
        </w:rPr>
        <w:t>Table 6. Monthly-Only model AUC across walk-forward folds.</w:t>
      </w:r>
    </w:p>
    <w:p>
      <w:pPr/>
      <w:r>
        <w:t>The slight dip in Fold B (AUC 0.8153) coincides with the 2022 rate-rising environment, which represented a structural break from the low-rate period the model was trained on. Recovery to 0.8652 in Fold C indicates the model adapted once 2022 data was included in training.</w:t>
      </w:r>
    </w:p>
    <w:p>
      <w:pPr/>
      <w:r>
        <w:t>The 18 selected features are all monthly housing market signals:</w:t>
      </w:r>
    </w:p>
    <w:p>
      <w:pPr>
        <w:pStyle w:val="ListParagraph"/>
      </w:pPr>
      <w:r>
        <w:t>homes_sold, new_listings, inventory, median_days_on_market, pct_off_market_in_2wks, home_value_mom_pct, home_value_yoy_pct, inventory_yoy_pct, home_value_mom_3m_avg, home_value_mom_12m_avg, inventory_mom_12m_avg, home_value_accel, home_value_vs_baseline, dom_vs_baseline, home_value_mom_pct_lag6, pct_sold_above_list_lag6, avg_sale_to_list_ratio_lag6, home_value_vs_baseline_lag6</w:t>
      </w:r>
    </w:p>
    <w:p>
      <w:pPr/>
      <w:r>
        <w:rPr>
          <w:b/>
        </w:rPr>
        <w:t>V3 Binary Classification Results (Research Benchmark)</w:t>
      </w:r>
    </w:p>
    <w:p>
      <w:pPr/>
      <w:r>
        <w:t>Table 7 shows V3 results on Fold B (test year 2021) for comparison against the Monthly-Only model.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Fold</w:t>
            </w:r>
          </w:p>
        </w:tc>
        <w:tc>
          <w:tcPr>
            <w:tcW w:type="dxa" w:w="1560"/>
          </w:tcPr>
          <w:p>
            <w:r>
              <w:rPr>
                <w:b/>
              </w:rPr>
              <w:t>Model</w:t>
            </w:r>
          </w:p>
        </w:tc>
        <w:tc>
          <w:tcPr>
            <w:tcW w:type="dxa" w:w="1560"/>
          </w:tcPr>
          <w:p>
            <w:r>
              <w:rPr>
                <w:b/>
              </w:rPr>
              <w:t>AUC</w:t>
            </w:r>
          </w:p>
        </w:tc>
        <w:tc>
          <w:tcPr>
            <w:tcW w:type="dxa" w:w="1560"/>
          </w:tcPr>
          <w:p>
            <w:r>
              <w:rPr>
                <w:b/>
              </w:rPr>
              <w:t>F1</w:t>
            </w:r>
          </w:p>
        </w:tc>
        <w:tc>
          <w:tcPr>
            <w:tcW w:type="dxa" w:w="1560"/>
          </w:tcPr>
          <w:p>
            <w:r>
              <w:rPr>
                <w:b/>
              </w:rPr>
              <w:t>Precision</w:t>
            </w:r>
          </w:p>
        </w:tc>
        <w:tc>
          <w:tcPr>
            <w:tcW w:type="dxa" w:w="1560"/>
          </w:tcPr>
          <w:p>
            <w:r>
              <w:rPr>
                <w:b/>
              </w:rPr>
              <w:t>Recall</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tcPr>
          <w:p>
            <w:r>
              <w:t>B</w:t>
            </w:r>
          </w:p>
        </w:tc>
        <w:tc>
          <w:tcPr>
            <w:tcW w:type="dxa" w:w="1560"/>
          </w:tcPr>
          <w:p>
            <w:r>
              <w:t>Logistic Regression</w:t>
            </w:r>
          </w:p>
        </w:tc>
        <w:tc>
          <w:tcPr>
            <w:tcW w:type="dxa" w:w="1560"/>
          </w:tcPr>
          <w:p>
            <w:r>
              <w:t>0.8581</w:t>
            </w:r>
          </w:p>
        </w:tc>
        <w:tc>
          <w:tcPr>
            <w:tcW w:type="dxa" w:w="1560"/>
          </w:tcPr>
          <w:p>
            <w:r>
              <w:t>0.6180</w:t>
            </w:r>
          </w:p>
        </w:tc>
        <w:tc>
          <w:tcPr>
            <w:tcW w:type="dxa" w:w="1560"/>
          </w:tcPr>
          <w:p>
            <w:r>
              <w:t>0.4659</w:t>
            </w:r>
          </w:p>
        </w:tc>
        <w:tc>
          <w:tcPr>
            <w:tcW w:type="dxa" w:w="1560"/>
          </w:tcPr>
          <w:p>
            <w:r>
              <w:t>0.9173</w:t>
            </w:r>
          </w:p>
        </w:tc>
      </w:tr>
      <w:tr>
        <w:tc>
          <w:tcPr>
            <w:tcW w:type="dxa" w:w="1560"/>
          </w:tcPr>
          <w:p>
            <w:r>
              <w:t>B</w:t>
            </w:r>
          </w:p>
        </w:tc>
        <w:tc>
          <w:tcPr>
            <w:tcW w:type="dxa" w:w="1560"/>
          </w:tcPr>
          <w:p>
            <w:r>
              <w:t>Random Forest</w:t>
            </w:r>
          </w:p>
        </w:tc>
        <w:tc>
          <w:tcPr>
            <w:tcW w:type="dxa" w:w="1560"/>
          </w:tcPr>
          <w:p>
            <w:r>
              <w:t>0.8607</w:t>
            </w:r>
          </w:p>
        </w:tc>
        <w:tc>
          <w:tcPr>
            <w:tcW w:type="dxa" w:w="1560"/>
          </w:tcPr>
          <w:p>
            <w:r>
              <w:t>0.4510</w:t>
            </w:r>
          </w:p>
        </w:tc>
        <w:tc>
          <w:tcPr>
            <w:tcW w:type="dxa" w:w="1560"/>
          </w:tcPr>
          <w:p>
            <w:r>
              <w:t>0.8341</w:t>
            </w:r>
          </w:p>
        </w:tc>
        <w:tc>
          <w:tcPr>
            <w:tcW w:type="dxa" w:w="1560"/>
          </w:tcPr>
          <w:p>
            <w:r>
              <w:t>0.3091</w:t>
            </w:r>
          </w:p>
        </w:tc>
      </w:tr>
      <w:tr>
        <w:tc>
          <w:tcPr>
            <w:tcW w:type="dxa" w:w="1560"/>
          </w:tcPr>
          <w:p>
            <w:r>
              <w:t>B</w:t>
            </w:r>
          </w:p>
        </w:tc>
        <w:tc>
          <w:tcPr>
            <w:tcW w:type="dxa" w:w="1560"/>
          </w:tcPr>
          <w:p>
            <w:r>
              <w:t>Gradient Boosting (V3)</w:t>
            </w:r>
          </w:p>
        </w:tc>
        <w:tc>
          <w:tcPr>
            <w:tcW w:type="dxa" w:w="1560"/>
          </w:tcPr>
          <w:p>
            <w:r>
              <w:t>0.8519</w:t>
            </w:r>
          </w:p>
        </w:tc>
        <w:tc>
          <w:tcPr>
            <w:tcW w:type="dxa" w:w="1560"/>
          </w:tcPr>
          <w:p>
            <w:r>
              <w:t>0.6333</w:t>
            </w:r>
          </w:p>
        </w:tc>
        <w:tc>
          <w:tcPr>
            <w:tcW w:type="dxa" w:w="1560"/>
          </w:tcPr>
          <w:p>
            <w:r>
              <w:t>0.5094</w:t>
            </w:r>
          </w:p>
        </w:tc>
        <w:tc>
          <w:tcPr>
            <w:tcW w:type="dxa" w:w="1560"/>
          </w:tcPr>
          <w:p>
            <w:r>
              <w:t>0.8369</w:t>
            </w:r>
          </w:p>
        </w:tc>
      </w:tr>
    </w:tbl>
    <w:p>
      <w:pPr/>
      <w:r>
        <w:rPr>
          <w:i/>
        </w:rPr>
        <w:t>Table 7. V3 binary classification results — Fold B (test year 2021).</w:t>
      </w:r>
    </w:p>
    <w:p>
      <w:pPr/>
      <w:r>
        <w:rPr>
          <w:b/>
        </w:rPr>
        <w:t>Multi-Class Direction Results</w:t>
      </w:r>
    </w:p>
    <w:p>
      <w:pPr/>
      <w:r>
        <w:t>Table 8 presents the three-class transition direction results for V3 on Fold B. The Stable class is the most difficult to predict as it occupies the ambiguous middle ground.</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Model</w:t>
            </w:r>
          </w:p>
        </w:tc>
        <w:tc>
          <w:tcPr>
            <w:tcW w:type="dxa" w:w="1560"/>
          </w:tcPr>
          <w:p>
            <w:r>
              <w:rPr>
                <w:b/>
              </w:rPr>
              <w:t>Macro F1</w:t>
            </w:r>
          </w:p>
        </w:tc>
        <w:tc>
          <w:tcPr>
            <w:tcW w:type="dxa" w:w="1560"/>
          </w:tcPr>
          <w:p>
            <w:r>
              <w:rPr>
                <w:b/>
              </w:rPr>
              <w:t>Accuracy</w:t>
            </w:r>
          </w:p>
        </w:tc>
        <w:tc>
          <w:tcPr>
            <w:tcW w:type="dxa" w:w="1560"/>
          </w:tcPr>
          <w:p>
            <w:r>
              <w:rPr>
                <w:b/>
              </w:rPr>
              <w:t>F1 Down</w:t>
            </w:r>
          </w:p>
        </w:tc>
        <w:tc>
          <w:tcPr>
            <w:tcW w:type="dxa" w:w="1560"/>
          </w:tcPr>
          <w:p>
            <w:r>
              <w:rPr>
                <w:b/>
              </w:rPr>
              <w:t>F1 Stable</w:t>
            </w:r>
          </w:p>
        </w:tc>
        <w:tc>
          <w:tcPr>
            <w:tcW w:type="dxa" w:w="1560"/>
          </w:tcPr>
          <w:p>
            <w:r>
              <w:rPr>
                <w:b/>
              </w:rPr>
              <w:t>F1 Up</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tcPr>
          <w:p>
            <w:r>
              <w:t>Logistic Regression (V1)</w:t>
            </w:r>
          </w:p>
        </w:tc>
        <w:tc>
          <w:tcPr>
            <w:tcW w:type="dxa" w:w="1560"/>
          </w:tcPr>
          <w:p>
            <w:r>
              <w:t>0.5614</w:t>
            </w:r>
          </w:p>
        </w:tc>
        <w:tc>
          <w:tcPr>
            <w:tcW w:type="dxa" w:w="1560"/>
          </w:tcPr>
          <w:p>
            <w:r>
              <w:t>0.5591</w:t>
            </w:r>
          </w:p>
        </w:tc>
        <w:tc>
          <w:tcPr>
            <w:tcW w:type="dxa" w:w="1560"/>
          </w:tcPr>
          <w:p>
            <w:r>
              <w:t>0.6209</w:t>
            </w:r>
          </w:p>
        </w:tc>
        <w:tc>
          <w:tcPr>
            <w:tcW w:type="dxa" w:w="1560"/>
          </w:tcPr>
          <w:p>
            <w:r>
              <w:t>0.4240</w:t>
            </w:r>
          </w:p>
        </w:tc>
        <w:tc>
          <w:tcPr>
            <w:tcW w:type="dxa" w:w="1560"/>
          </w:tcPr>
          <w:p>
            <w:r>
              <w:t>0.6391</w:t>
            </w:r>
          </w:p>
        </w:tc>
      </w:tr>
      <w:tr>
        <w:tc>
          <w:tcPr>
            <w:tcW w:type="dxa" w:w="1560"/>
          </w:tcPr>
          <w:p>
            <w:r>
              <w:t>Gradient Boosting (V3)</w:t>
            </w:r>
          </w:p>
        </w:tc>
        <w:tc>
          <w:tcPr>
            <w:tcW w:type="dxa" w:w="1560"/>
          </w:tcPr>
          <w:p>
            <w:r>
              <w:t>0.5076</w:t>
            </w:r>
          </w:p>
        </w:tc>
        <w:tc>
          <w:tcPr>
            <w:tcW w:type="dxa" w:w="1560"/>
          </w:tcPr>
          <w:p>
            <w:r>
              <w:t>0.5110</w:t>
            </w:r>
          </w:p>
        </w:tc>
        <w:tc>
          <w:tcPr>
            <w:tcW w:type="dxa" w:w="1560"/>
          </w:tcPr>
          <w:p>
            <w:r>
              <w:t>0.5330</w:t>
            </w:r>
          </w:p>
        </w:tc>
        <w:tc>
          <w:tcPr>
            <w:tcW w:type="dxa" w:w="1560"/>
          </w:tcPr>
          <w:p>
            <w:r>
              <w:t>0.3970</w:t>
            </w:r>
          </w:p>
        </w:tc>
        <w:tc>
          <w:tcPr>
            <w:tcW w:type="dxa" w:w="1560"/>
          </w:tcPr>
          <w:p>
            <w:r>
              <w:t>0.5930</w:t>
            </w:r>
          </w:p>
        </w:tc>
      </w:tr>
      <w:tr>
        <w:tc>
          <w:tcPr>
            <w:tcW w:type="dxa" w:w="1560"/>
          </w:tcPr>
          <w:p>
            <w:r>
              <w:t>Random Forest (V1)</w:t>
            </w:r>
          </w:p>
        </w:tc>
        <w:tc>
          <w:tcPr>
            <w:tcW w:type="dxa" w:w="1560"/>
          </w:tcPr>
          <w:p>
            <w:r>
              <w:t>0.3970</w:t>
            </w:r>
          </w:p>
        </w:tc>
        <w:tc>
          <w:tcPr>
            <w:tcW w:type="dxa" w:w="1560"/>
          </w:tcPr>
          <w:p>
            <w:r>
              <w:t>0.5089</w:t>
            </w:r>
          </w:p>
        </w:tc>
        <w:tc>
          <w:tcPr>
            <w:tcW w:type="dxa" w:w="1560"/>
          </w:tcPr>
          <w:p>
            <w:r>
              <w:t>0.0528</w:t>
            </w:r>
          </w:p>
        </w:tc>
        <w:tc>
          <w:tcPr>
            <w:tcW w:type="dxa" w:w="1560"/>
          </w:tcPr>
          <w:p>
            <w:r>
              <w:t>0.6163</w:t>
            </w:r>
          </w:p>
        </w:tc>
        <w:tc>
          <w:tcPr>
            <w:tcW w:type="dxa" w:w="1560"/>
          </w:tcPr>
          <w:p>
            <w:r>
              <w:t>0.5220</w:t>
            </w:r>
          </w:p>
        </w:tc>
      </w:tr>
    </w:tbl>
    <w:p>
      <w:pPr/>
      <w:r>
        <w:rPr>
          <w:i/>
        </w:rPr>
        <w:t>Table 8. Multi-class direction results — Fold B (V3 models, test year 2021).</w:t>
      </w:r>
    </w:p>
    <w:p>
      <w:pPr/>
      <w:r>
        <w:rPr>
          <w:b/>
        </w:rPr>
        <w:t>Feature Importance</w:t>
      </w:r>
    </w:p>
    <w:p>
      <w:pPr/>
      <w:r>
        <w:t>Permutation importance computed on the Fold B test set (Random Forest V2) identified price momentum and acceleration as the dominant predictive signals (Table 9). All top features are monthly housing indicators, validating the Monthly-Only model’s decision to exclude the lower-ranked annual demographic and economic features.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Rank</w:t>
            </w:r>
          </w:p>
        </w:tc>
        <w:tc>
          <w:tcPr>
            <w:tcW w:type="dxa" w:w="2340"/>
          </w:tcPr>
          <w:p>
            <w:r>
              <w:rPr>
                <w:b/>
              </w:rPr>
              <w:t>Feature</w:t>
            </w:r>
          </w:p>
        </w:tc>
        <w:tc>
          <w:tcPr>
            <w:tcW w:type="dxa" w:w="2340"/>
          </w:tcPr>
          <w:p>
            <w:r>
              <w:rPr>
                <w:b/>
              </w:rPr>
              <w:t>Perm. Importance</w:t>
            </w:r>
          </w:p>
        </w:tc>
        <w:tc>
          <w:tcPr>
            <w:tcW w:type="dxa" w:w="2340"/>
          </w:tcPr>
          <w:p>
            <w:r>
              <w:rPr>
                <w:b/>
              </w:rPr>
              <w:t>Interpretation</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r>
              <w:t>1</w:t>
            </w:r>
          </w:p>
        </w:tc>
        <w:tc>
          <w:tcPr>
            <w:tcW w:type="dxa" w:w="2340"/>
          </w:tcPr>
          <w:p>
            <w:r>
              <w:t>home_value_mom_pct</w:t>
            </w:r>
          </w:p>
        </w:tc>
        <w:tc>
          <w:tcPr>
            <w:tcW w:type="dxa" w:w="2340"/>
          </w:tcPr>
          <w:p>
            <w:r>
              <w:t>0.0460</w:t>
            </w:r>
          </w:p>
        </w:tc>
        <w:tc>
          <w:tcPr>
            <w:tcW w:type="dxa" w:w="2340"/>
          </w:tcPr>
          <w:p>
            <w:r>
              <w:t>Month-over-month % home value change</w:t>
            </w:r>
          </w:p>
        </w:tc>
      </w:tr>
      <w:tr>
        <w:tc>
          <w:tcPr>
            <w:tcW w:type="dxa" w:w="2340"/>
          </w:tcPr>
          <w:p>
            <w:r>
              <w:t>2</w:t>
            </w:r>
          </w:p>
        </w:tc>
        <w:tc>
          <w:tcPr>
            <w:tcW w:type="dxa" w:w="2340"/>
          </w:tcPr>
          <w:p>
            <w:r>
              <w:t>home_value_accel</w:t>
            </w:r>
          </w:p>
        </w:tc>
        <w:tc>
          <w:tcPr>
            <w:tcW w:type="dxa" w:w="2340"/>
          </w:tcPr>
          <w:p>
            <w:r>
              <w:t>0.0342</w:t>
            </w:r>
          </w:p>
        </w:tc>
        <w:tc>
          <w:tcPr>
            <w:tcW w:type="dxa" w:w="2340"/>
          </w:tcPr>
          <w:p>
            <w:r>
              <w:t>Rate of change in MoM growth (acceleration)</w:t>
            </w:r>
          </w:p>
        </w:tc>
      </w:tr>
      <w:tr>
        <w:tc>
          <w:tcPr>
            <w:tcW w:type="dxa" w:w="2340"/>
          </w:tcPr>
          <w:p>
            <w:r>
              <w:t>3</w:t>
            </w:r>
          </w:p>
        </w:tc>
        <w:tc>
          <w:tcPr>
            <w:tcW w:type="dxa" w:w="2340"/>
          </w:tcPr>
          <w:p>
            <w:r>
              <w:t>home_value_vs_baseline_lag6</w:t>
            </w:r>
          </w:p>
        </w:tc>
        <w:tc>
          <w:tcPr>
            <w:tcW w:type="dxa" w:w="2340"/>
          </w:tcPr>
          <w:p>
            <w:r>
              <w:t>0.0205</w:t>
            </w:r>
          </w:p>
        </w:tc>
        <w:tc>
          <w:tcPr>
            <w:tcW w:type="dxa" w:w="2340"/>
          </w:tcPr>
          <w:p>
            <w:r>
              <w:t>Home value deviation from ZIP baseline, 6 months prior</w:t>
            </w:r>
          </w:p>
        </w:tc>
      </w:tr>
      <w:tr>
        <w:tc>
          <w:tcPr>
            <w:tcW w:type="dxa" w:w="2340"/>
          </w:tcPr>
          <w:p>
            <w:r>
              <w:t>4</w:t>
            </w:r>
          </w:p>
        </w:tc>
        <w:tc>
          <w:tcPr>
            <w:tcW w:type="dxa" w:w="2340"/>
          </w:tcPr>
          <w:p>
            <w:r>
              <w:t>home_value_mom_3m_avg</w:t>
            </w:r>
          </w:p>
        </w:tc>
        <w:tc>
          <w:tcPr>
            <w:tcW w:type="dxa" w:w="2340"/>
          </w:tcPr>
          <w:p>
            <w:r>
              <w:t>0.0079</w:t>
            </w:r>
          </w:p>
        </w:tc>
        <w:tc>
          <w:tcPr>
            <w:tcW w:type="dxa" w:w="2340"/>
          </w:tcPr>
          <w:p>
            <w:r>
              <w:t>3-month rolling average MoM growth</w:t>
            </w:r>
          </w:p>
        </w:tc>
      </w:tr>
      <w:tr>
        <w:tc>
          <w:tcPr>
            <w:tcW w:type="dxa" w:w="2340"/>
          </w:tcPr>
          <w:p>
            <w:r>
              <w:t>5</w:t>
            </w:r>
          </w:p>
        </w:tc>
        <w:tc>
          <w:tcPr>
            <w:tcW w:type="dxa" w:w="2340"/>
          </w:tcPr>
          <w:p>
            <w:r>
              <w:t>inventory_mom_12m_avg</w:t>
            </w:r>
          </w:p>
        </w:tc>
        <w:tc>
          <w:tcPr>
            <w:tcW w:type="dxa" w:w="2340"/>
          </w:tcPr>
          <w:p>
            <w:r>
              <w:t>0.0071</w:t>
            </w:r>
          </w:p>
        </w:tc>
        <w:tc>
          <w:tcPr>
            <w:tcW w:type="dxa" w:w="2340"/>
          </w:tcPr>
          <w:p>
            <w:r>
              <w:t>12-month rolling average inventory MoM change</w:t>
            </w:r>
          </w:p>
        </w:tc>
      </w:tr>
      <w:tr>
        <w:tc>
          <w:tcPr>
            <w:tcW w:type="dxa" w:w="2340"/>
          </w:tcPr>
          <w:p>
            <w:r>
              <w:t>6</w:t>
            </w:r>
          </w:p>
        </w:tc>
        <w:tc>
          <w:tcPr>
            <w:tcW w:type="dxa" w:w="2340"/>
          </w:tcPr>
          <w:p>
            <w:r>
              <w:t>avg_sale_to_list_ratio_lag6</w:t>
            </w:r>
          </w:p>
        </w:tc>
        <w:tc>
          <w:tcPr>
            <w:tcW w:type="dxa" w:w="2340"/>
          </w:tcPr>
          <w:p>
            <w:r>
              <w:t>0.0064</w:t>
            </w:r>
          </w:p>
        </w:tc>
        <w:tc>
          <w:tcPr>
            <w:tcW w:type="dxa" w:w="2340"/>
          </w:tcPr>
          <w:p>
            <w:r>
              <w:t>Sale-to-list ratio 6 months prior</w:t>
            </w:r>
          </w:p>
        </w:tc>
      </w:tr>
      <w:tr>
        <w:tc>
          <w:tcPr>
            <w:tcW w:type="dxa" w:w="2340"/>
          </w:tcPr>
          <w:p>
            <w:r>
              <w:t>7</w:t>
            </w:r>
          </w:p>
        </w:tc>
        <w:tc>
          <w:tcPr>
            <w:tcW w:type="dxa" w:w="2340"/>
          </w:tcPr>
          <w:p>
            <w:r>
              <w:t>pct_sold_above_list_lag3</w:t>
            </w:r>
          </w:p>
        </w:tc>
        <w:tc>
          <w:tcPr>
            <w:tcW w:type="dxa" w:w="2340"/>
          </w:tcPr>
          <w:p>
            <w:r>
              <w:t>0.0047</w:t>
            </w:r>
          </w:p>
        </w:tc>
        <w:tc>
          <w:tcPr>
            <w:tcW w:type="dxa" w:w="2340"/>
          </w:tcPr>
          <w:p>
            <w:r>
              <w:t>% homes sold above list, 3 months prior</w:t>
            </w:r>
          </w:p>
        </w:tc>
      </w:tr>
      <w:tr>
        <w:tc>
          <w:tcPr>
            <w:tcW w:type="dxa" w:w="2340"/>
          </w:tcPr>
          <w:p>
            <w:r>
              <w:t>8</w:t>
            </w:r>
          </w:p>
        </w:tc>
        <w:tc>
          <w:tcPr>
            <w:tcW w:type="dxa" w:w="2340"/>
          </w:tcPr>
          <w:p>
            <w:r>
              <w:t>inventory_yoy_pct</w:t>
            </w:r>
          </w:p>
        </w:tc>
        <w:tc>
          <w:tcPr>
            <w:tcW w:type="dxa" w:w="2340"/>
          </w:tcPr>
          <w:p>
            <w:r>
              <w:t>0.0046</w:t>
            </w:r>
          </w:p>
        </w:tc>
        <w:tc>
          <w:tcPr>
            <w:tcW w:type="dxa" w:w="2340"/>
          </w:tcPr>
          <w:p>
            <w:r>
              <w:t>Year-over-year inventory % change</w:t>
            </w:r>
          </w:p>
        </w:tc>
      </w:tr>
      <w:tr>
        <w:tc>
          <w:tcPr>
            <w:tcW w:type="dxa" w:w="2340"/>
          </w:tcPr>
          <w:p>
            <w:r>
              <w:t>9</w:t>
            </w:r>
          </w:p>
        </w:tc>
        <w:tc>
          <w:tcPr>
            <w:tcW w:type="dxa" w:w="2340"/>
          </w:tcPr>
          <w:p>
            <w:r>
              <w:t>median_price_per_sqft</w:t>
            </w:r>
          </w:p>
        </w:tc>
        <w:tc>
          <w:tcPr>
            <w:tcW w:type="dxa" w:w="2340"/>
          </w:tcPr>
          <w:p>
            <w:r>
              <w:t>0.0044</w:t>
            </w:r>
          </w:p>
        </w:tc>
        <w:tc>
          <w:tcPr>
            <w:tcW w:type="dxa" w:w="2340"/>
          </w:tcPr>
          <w:p>
            <w:r>
              <w:t>Current median price per square foot</w:t>
            </w:r>
          </w:p>
        </w:tc>
      </w:tr>
      <w:tr>
        <w:tc>
          <w:tcPr>
            <w:tcW w:type="dxa" w:w="2340"/>
          </w:tcPr>
          <w:p>
            <w:r>
              <w:t>10</w:t>
            </w:r>
          </w:p>
        </w:tc>
        <w:tc>
          <w:tcPr>
            <w:tcW w:type="dxa" w:w="2340"/>
          </w:tcPr>
          <w:p>
            <w:r>
              <w:t>pct_sold_above_list_lag6</w:t>
            </w:r>
          </w:p>
        </w:tc>
        <w:tc>
          <w:tcPr>
            <w:tcW w:type="dxa" w:w="2340"/>
          </w:tcPr>
          <w:p>
            <w:r>
              <w:t>0.0036</w:t>
            </w:r>
          </w:p>
        </w:tc>
        <w:tc>
          <w:tcPr>
            <w:tcW w:type="dxa" w:w="2340"/>
          </w:tcPr>
          <w:p>
            <w:r>
              <w:t>% homes sold above list, 6 months prior</w:t>
            </w:r>
          </w:p>
        </w:tc>
      </w:tr>
    </w:tbl>
    <w:p>
      <w:pPr/>
      <w:r>
        <w:rPr>
          <w:i/>
        </w:rPr>
        <w:t>Table 9. Top 10 features by permutation importance (Random Forest V2, Fold B).</w:t>
      </w:r>
    </w:p>
    <w:p>
      <w:pPr>
        <w:pStyle w:val="Heading1"/>
      </w:pPr>
      <w:r>
        <w:t>Discussion</w:t>
      </w:r>
    </w:p>
    <w:p>
      <w:pPr/>
      <w:r>
        <w:t>The most significant finding of the model comparison is that dropping all annual demographic and economic features (ACS, CBP, IRS) and using only monthly Zillow and Redfin data improved AUC from 0.8519 to 0.8652. This result is interpretable: the top 11 features by permutation importance are all monthly housing market signals. The annual features ranked #12–#27, contributing importance values of 0.0008–0.0024 compared to 0.046 for the top feature (home_value_mom_pct). They were adding data-lag noise rather than meaningful signal, because annual survey data is inherently slow to reflect the rapid market changes that characterize neighborhood transitions.</w:t>
      </w:r>
    </w:p>
    <w:p>
      <w:pPr/>
      <w:r>
        <w:t>Within the monthly feature set, a clear hierarchy emerges. Price momentum (home_value_mom_pct, rank 1) and its acceleration (home_value_accel, rank 2) are the dominant signals. It is not simply that prices are rising, but that the rate of rise is itself accelerating, that most strongly signals imminent transition. The 6-month lagged baseline deviation (rank 3) captures early structural drift: a ZIP beginning to diverge from its own historical norm six months before the forecast window is detectable and predictive.</w:t>
      </w:r>
    </w:p>
    <w:p>
      <w:pPr/>
      <w:r>
        <w:t>Supply-side features (inventory_mom_12m_avg, inventory_yoy_pct) confirm that persistent inventory depletion over a 12-month horizon is a reliable precursor to accelerating price growth. Competition metrics (avg_sale_to_list_ratio_lag6, pct_sold_above_list) further support this: buyer competition measured months before the target window anticipates the intensity of subsequent market pressure.</w:t>
      </w:r>
    </w:p>
    <w:p>
      <w:pPr/>
      <w:r>
        <w:t>The Fold B dip in the Monthly-Only model (AUC 0.8153, test year 2022) reflects the structural break caused by the Federal Reserve’s aggressive rate-hiking cycle that began in early 2022. Markets that had been signaling upward transition based on momentum features abruptly stalled as affordability collapsed. Recovery to AUC 0.8652 in Fold C (2023) shows the model adapted once 2022 data entered the training set, learning the new regime.</w:t>
      </w:r>
    </w:p>
    <w:p>
      <w:pPr/>
      <w:r>
        <w:t>Based on these findings, the following actions are recommended for stakeholders:</w:t>
      </w:r>
    </w:p>
    <w:p>
      <w:pPr>
        <w:pStyle w:val="ListParagraph"/>
      </w:pPr>
      <w:r>
        <w:t>Monitor ZIP codes in the competitive_mid_market and affordable_high_demand clusters with elevated home_value_mom_pct and accelerating price growth as the highest-priority early-warning targets.</w:t>
      </w:r>
    </w:p>
    <w:p>
      <w:pPr>
        <w:pStyle w:val="ListParagraph"/>
      </w:pPr>
      <w:r>
        <w:t>Use the opportunity score (binary probability) alongside the net direction score (prob_up − prob_down) to differentiate between ZIPs approaching upward transition and those facing cooling risk.</w:t>
      </w:r>
    </w:p>
    <w:p>
      <w:pPr>
        <w:pStyle w:val="ListParagraph"/>
      </w:pPr>
      <w:r>
        <w:t>Treat predictions as 12-month leading indicators and refresh monthly as new Zillow and Redfin data become available — no annual survey lag with the Monthly-Only model.</w:t>
      </w:r>
    </w:p>
    <w:p>
      <w:pPr>
        <w:pStyle w:val="ListParagraph"/>
      </w:pPr>
      <w:r>
        <w:t>Apply ZIP-relative thresholds when screening for transition candidates, consistent with how targets were engineered.</w:t>
      </w:r>
    </w:p>
    <w:p>
      <w:pPr>
        <w:pStyle w:val="Heading1"/>
      </w:pPr>
      <w:r>
        <w:t>Conclusions</w:t>
      </w:r>
    </w:p>
    <w:p>
      <w:pPr/>
      <w:r>
        <w:t>This project successfully built a Neighborhood Market Early-Warning System for 655 ZIP codes across North Carolina and South Carolina. The final production model—a Gradient Boosting classifier using 18 monthly housing market features from Zillow and Redfin—achieves AUC = 0.8652 on the January–December 2023 test period and was validated across three walk-forward folds covering 2021, 2022, and 2023. The three-class direction model provides complementary directional guidance (macro F1 = 0.5614 for Logistic Regression V1). Unsupervised clustering identified five interpretable market archetypes across the 655 ZIPs (silhouette = 0.16).</w:t>
      </w:r>
    </w:p>
    <w:p>
      <w:pPr/>
      <w:r>
        <w:t>The key finding is that publicly available monthly housing market data alone — without any demographic, business, or income survey data — is sufficient to predict 12-month neighborhood transitions with AUC above 0.86. Price momentum, price acceleration, and inventory depletion are the dominant early-warning signals. Annual economic indicators from ACS, CBP, and IRS added minimal predictive value and were excluded from the final model.</w:t>
      </w:r>
    </w:p>
    <w:p>
      <w:pPr/>
      <w:r>
        <w:rPr>
          <w:b/>
        </w:rPr>
        <w:t>Limitations:</w:t>
      </w:r>
    </w:p>
    <w:p>
      <w:pPr>
        <w:pStyle w:val="ListParagraph"/>
      </w:pPr>
      <w:r>
        <w:t>ZIP-code granularity masks within-ZIP heterogeneity; block-level data would sharpen predictions.</w:t>
      </w:r>
    </w:p>
    <w:p>
      <w:pPr>
        <w:pStyle w:val="ListParagraph"/>
      </w:pPr>
      <w:r>
        <w:t>The transition target is an engineered proxy based on forward market behavior, not a direct measure of gentrification or displacement.</w:t>
      </w:r>
    </w:p>
    <w:p>
      <w:pPr>
        <w:pStyle w:val="ListParagraph"/>
      </w:pPr>
      <w:r>
        <w:t>The Fold B AUC dip (0.8153) in the 2022 rate-rising environment suggests the model may underperform during structural macroeconomic breaks until those periods enter the training set.</w:t>
      </w:r>
    </w:p>
    <w:p>
      <w:pPr>
        <w:pStyle w:val="ListParagraph"/>
      </w:pPr>
      <w:r>
        <w:t>The silhouette score of 0.16 indicates moderate but not sharp cluster separation, expected for continuous housing market data.</w:t>
      </w:r>
    </w:p>
    <w:p>
      <w:pPr>
        <w:pStyle w:val="ListParagraph"/>
      </w:pPr>
      <w:r>
        <w:t>The model is trained primarily on the low-rate COVID-era expansion (2019–2021); generalizability to other market cycles should be validated.</w:t>
      </w:r>
    </w:p>
    <w:p>
      <w:pPr/>
      <w:r>
        <w:rPr>
          <w:b/>
        </w:rPr>
        <w:t>Future Directions:</w:t>
      </w:r>
    </w:p>
    <w:p>
      <w:pPr>
        <w:pStyle w:val="ListParagraph"/>
      </w:pPr>
      <w:r>
        <w:t>Extend Redfin training data back to 2012 (now feasible with the Monthly-Only model) to provide 4× more training history across multiple market cycles.</w:t>
      </w:r>
    </w:p>
    <w:p>
      <w:pPr>
        <w:pStyle w:val="ListParagraph"/>
      </w:pPr>
      <w:r>
        <w:t>Incorporate spatial lag features (neighboring ZIP performance) to capture geographic contagion effects.</w:t>
      </w:r>
    </w:p>
    <w:p>
      <w:pPr>
        <w:pStyle w:val="ListParagraph"/>
      </w:pPr>
      <w:r>
        <w:t>Add displacement indicators (eviction rates, rental vacancy) to connect market transition predictions to social impact outcomes.</w:t>
      </w:r>
    </w:p>
    <w:p>
      <w:pPr>
        <w:pStyle w:val="ListParagraph"/>
      </w:pPr>
      <w:r>
        <w:t>Implement SHAP per-ZIP explanations in the production app to show which features drove each specific prediction.</w:t>
      </w:r>
    </w:p>
    <w:p>
      <w:pPr>
        <w:pStyle w:val="ListParagraph"/>
      </w:pPr>
      <w:r>
        <w:t>Investigate ordinal regression for the three-class task to leverage the ordered nature of Down/Stable/Up labels.</w:t>
      </w:r>
    </w:p>
    <w:p>
      <w:pPr>
        <w:pStyle w:val="Heading1"/>
      </w:pPr>
      <w:r>
        <w:t>References</w:t>
      </w:r>
    </w:p>
    <w:p>
      <w:pPr/>
      <w:r>
        <w:t>1. Kang, W., Rey, S., Wolf, L., Knaap, E., &amp; Han, S. (2020). Sensitivity of sequence methods in the study of neighborhood change in the United States. Computers, Environment and Urban Systems, 81.</w:t>
      </w:r>
    </w:p>
    <w:p>
      <w:pPr/>
      <w:r>
        <w:t>2. Ling, C., &amp; Delmelle, E. C. (2016). Classifying multidimensional trajectories of neighbourhood change: A self-organizing map and k-means approach. Annals of GIS, 22(3), 173–186.</w:t>
      </w:r>
    </w:p>
    <w:p>
      <w:pPr/>
      <w:r>
        <w:t>3. Delmelle, E. C., Gao, Y., Martin, S., &amp; Thill, J.-C. (2022). GIScience and neighborhood change: Toward an interdisciplinary, spatially integrated framework. Transactions in GIS, 26(5), 2396–2416.</w:t>
      </w:r>
    </w:p>
    <w:p>
      <w:pPr/>
      <w:r>
        <w:t>4. Silver, D., Byrne, J., &amp; Adler, P. (2021). A Markov model of urban evolution: Neighbourhood change as a complex process. PLOS ONE, 16(1).</w:t>
      </w:r>
    </w:p>
    <w:p>
      <w:pPr/>
      <w:r>
        <w:t>5. Bunten, D. M., et al. (2024). Re-measuring gentrification. Urban Studies.</w:t>
      </w:r>
    </w:p>
    <w:p>
      <w:pPr/>
      <w:r>
        <w:t>6. Zillow Research. Zillow Home Value Index (ZHVI) Methodology and Housing Data. https://www.zillow.com/research/data/</w:t>
      </w:r>
    </w:p>
    <w:p>
      <w:pPr/>
      <w:r>
        <w:t>7. U.S. Census Bureau. American Community Survey 5-Year Estimates. https://www.census.gov/programs-surveys/acs</w:t>
      </w:r>
    </w:p>
    <w:p>
      <w:pPr/>
      <w:r>
        <w:t>8. U.S. Census Bureau. County Business Patterns. https://www.census.gov/programs-surveys/cbp</w:t>
      </w:r>
    </w:p>
    <w:p>
      <w:pPr/>
      <w:r>
        <w:t>9. Internal Revenue Service. Statistics of Income: ZIP Code Data. https://www.irs.gov/statistics/soi-tax-stats-individual-income-tax-statistics-zip-code-data</w:t>
      </w:r>
    </w:p>
    <w:p>
      <w:pPr/>
      <w:r>
        <w:t>10. Freddie Mac. Primary Mortgage Market Survey. https://www.freddiemac.com/pmms</w:t>
      </w:r>
    </w:p>
    <w:p>
      <w:pPr/>
      <w:r>
        <w:t>11. Pedregosa, F., et al. (2011). Scikit-learn: Machine learning in Python. Journal of Machine Learning Research, 12, 2825–2830.</w:t>
      </w:r>
    </w:p>
    <w:p>
      <w:pPr/>
      <w:r>
        <w:t>12. Redfin Data Center. Housing Market Data. https://www.redfin.com/news/data-center/</w:t>
      </w:r>
    </w:p>
    <w:sectPr w:rsidR="00DC289D" w:rsidRPr="00CC49BA" w:rsidSect="00CC49BA">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32FC3" w14:textId="77777777" w:rsidR="00476AE3" w:rsidRDefault="00476AE3" w:rsidP="0073735C">
      <w:pPr>
        <w:spacing w:after="0" w:line="240" w:lineRule="auto"/>
      </w:pPr>
      <w:r>
        <w:separator/>
      </w:r>
    </w:p>
  </w:endnote>
  <w:endnote w:type="continuationSeparator" w:id="0">
    <w:p w14:paraId="5ABAFFC8" w14:textId="77777777" w:rsidR="00476AE3" w:rsidRDefault="00476AE3" w:rsidP="00737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490704"/>
      <w:docPartObj>
        <w:docPartGallery w:val="Page Numbers (Bottom of Page)"/>
        <w:docPartUnique/>
      </w:docPartObj>
    </w:sdtPr>
    <w:sdtEndPr>
      <w:rPr>
        <w:noProof/>
      </w:rPr>
    </w:sdtEndPr>
    <w:sdtContent>
      <w:p w14:paraId="098F6051" w14:textId="7B7731E3" w:rsidR="00CC49BA" w:rsidRDefault="00CC49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329AAC" w14:textId="77777777" w:rsidR="0073735C" w:rsidRDefault="00737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8BD85" w14:textId="77777777" w:rsidR="00476AE3" w:rsidRDefault="00476AE3" w:rsidP="0073735C">
      <w:pPr>
        <w:spacing w:after="0" w:line="240" w:lineRule="auto"/>
      </w:pPr>
      <w:r>
        <w:separator/>
      </w:r>
    </w:p>
  </w:footnote>
  <w:footnote w:type="continuationSeparator" w:id="0">
    <w:p w14:paraId="5099DE3D" w14:textId="77777777" w:rsidR="00476AE3" w:rsidRDefault="00476AE3" w:rsidP="007373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8610B"/>
    <w:multiLevelType w:val="hybridMultilevel"/>
    <w:tmpl w:val="50647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34668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3szQwMzY0sDQzMTNS0lEKTi0uzszPAykwrAUAZrFR+ywAAAA="/>
  </w:docVars>
  <w:rsids>
    <w:rsidRoot w:val="00DC289D"/>
    <w:rsid w:val="00016F5B"/>
    <w:rsid w:val="00025A2A"/>
    <w:rsid w:val="000F790C"/>
    <w:rsid w:val="00127DCB"/>
    <w:rsid w:val="00132150"/>
    <w:rsid w:val="0017695B"/>
    <w:rsid w:val="001A3E98"/>
    <w:rsid w:val="00254CE2"/>
    <w:rsid w:val="00377EB5"/>
    <w:rsid w:val="00476AE3"/>
    <w:rsid w:val="00531DF0"/>
    <w:rsid w:val="00621407"/>
    <w:rsid w:val="00623094"/>
    <w:rsid w:val="00642D1C"/>
    <w:rsid w:val="00681B05"/>
    <w:rsid w:val="00684B17"/>
    <w:rsid w:val="0073735C"/>
    <w:rsid w:val="007B52D7"/>
    <w:rsid w:val="007C0057"/>
    <w:rsid w:val="0080207B"/>
    <w:rsid w:val="00856090"/>
    <w:rsid w:val="008A3B04"/>
    <w:rsid w:val="00935C34"/>
    <w:rsid w:val="00A02FB0"/>
    <w:rsid w:val="00A14641"/>
    <w:rsid w:val="00A73A75"/>
    <w:rsid w:val="00BB7342"/>
    <w:rsid w:val="00BE3C39"/>
    <w:rsid w:val="00BE78E7"/>
    <w:rsid w:val="00CC49BA"/>
    <w:rsid w:val="00D91216"/>
    <w:rsid w:val="00DC289D"/>
    <w:rsid w:val="00E409FA"/>
    <w:rsid w:val="00E47D8E"/>
    <w:rsid w:val="00F515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89671"/>
  <w15:chartTrackingRefBased/>
  <w15:docId w15:val="{3859AF3A-5893-4A64-BE6A-BC92A6DE5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8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73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89D"/>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DC289D"/>
    <w:pPr>
      <w:spacing w:after="0" w:line="240" w:lineRule="auto"/>
    </w:pPr>
    <w:rPr>
      <w:rFonts w:eastAsiaTheme="minorEastAsia"/>
    </w:rPr>
  </w:style>
  <w:style w:type="character" w:customStyle="1" w:styleId="NoSpacingChar">
    <w:name w:val="No Spacing Char"/>
    <w:basedOn w:val="DefaultParagraphFont"/>
    <w:link w:val="NoSpacing"/>
    <w:uiPriority w:val="1"/>
    <w:rsid w:val="00DC289D"/>
    <w:rPr>
      <w:rFonts w:eastAsiaTheme="minorEastAsia"/>
    </w:rPr>
  </w:style>
  <w:style w:type="table" w:styleId="TableGrid">
    <w:name w:val="Table Grid"/>
    <w:basedOn w:val="TableNormal"/>
    <w:uiPriority w:val="39"/>
    <w:rsid w:val="00737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3735C"/>
    <w:pPr>
      <w:outlineLvl w:val="9"/>
    </w:pPr>
  </w:style>
  <w:style w:type="paragraph" w:styleId="TOC1">
    <w:name w:val="toc 1"/>
    <w:basedOn w:val="Normal"/>
    <w:next w:val="Normal"/>
    <w:autoRedefine/>
    <w:uiPriority w:val="39"/>
    <w:unhideWhenUsed/>
    <w:rsid w:val="0073735C"/>
    <w:pPr>
      <w:spacing w:after="100"/>
    </w:pPr>
  </w:style>
  <w:style w:type="character" w:styleId="Hyperlink">
    <w:name w:val="Hyperlink"/>
    <w:basedOn w:val="DefaultParagraphFont"/>
    <w:uiPriority w:val="99"/>
    <w:unhideWhenUsed/>
    <w:rsid w:val="0073735C"/>
    <w:rPr>
      <w:color w:val="0563C1" w:themeColor="hyperlink"/>
      <w:u w:val="single"/>
    </w:rPr>
  </w:style>
  <w:style w:type="character" w:customStyle="1" w:styleId="Heading2Char">
    <w:name w:val="Heading 2 Char"/>
    <w:basedOn w:val="DefaultParagraphFont"/>
    <w:link w:val="Heading2"/>
    <w:uiPriority w:val="9"/>
    <w:rsid w:val="0073735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7373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35C"/>
  </w:style>
  <w:style w:type="paragraph" w:styleId="Footer">
    <w:name w:val="footer"/>
    <w:basedOn w:val="Normal"/>
    <w:link w:val="FooterChar"/>
    <w:uiPriority w:val="99"/>
    <w:unhideWhenUsed/>
    <w:rsid w:val="007373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35C"/>
  </w:style>
  <w:style w:type="paragraph" w:styleId="TOC2">
    <w:name w:val="toc 2"/>
    <w:basedOn w:val="Normal"/>
    <w:next w:val="Normal"/>
    <w:autoRedefine/>
    <w:uiPriority w:val="39"/>
    <w:unhideWhenUsed/>
    <w:rsid w:val="00F51508"/>
    <w:pPr>
      <w:spacing w:after="100"/>
      <w:ind w:left="220"/>
    </w:pPr>
  </w:style>
  <w:style w:type="paragraph" w:styleId="ListParagraph">
    <w:name w:val="List Paragraph"/>
    <w:basedOn w:val="Normal"/>
    <w:uiPriority w:val="34"/>
    <w:qFormat/>
    <w:rsid w:val="001769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Spring 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CE4B47-48F8-4550-871F-655CCB618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272</Words>
  <Characters>1509</Characters>
  <Application>Microsoft Office Word</Application>
  <DocSecurity>0</DocSecurity>
  <Lines>32</Lines>
  <Paragraphs>17</Paragraphs>
  <ScaleCrop>false</ScaleCrop>
  <HeadingPairs>
    <vt:vector size="2" baseType="variant">
      <vt:variant>
        <vt:lpstr>Title</vt:lpstr>
      </vt:variant>
      <vt:variant>
        <vt:i4>1</vt:i4>
      </vt:variant>
    </vt:vector>
  </HeadingPairs>
  <TitlesOfParts>
    <vt:vector size="1" baseType="lpstr">
      <vt:lpstr>Business Analytics Group Project</vt:lpstr>
    </vt:vector>
  </TitlesOfParts>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Analytics Group Project</dc:title>
  <dc:subject>PROJECT TITLE</dc:subject>
  <dc:creator>Project TITLE</dc:creator>
  <cp:keywords/>
  <dc:description/>
  <cp:lastModifiedBy>Lina Zhou</cp:lastModifiedBy>
  <cp:revision>3</cp:revision>
  <dcterms:created xsi:type="dcterms:W3CDTF">2025-03-12T17:29:00Z</dcterms:created>
  <dcterms:modified xsi:type="dcterms:W3CDTF">2025-03-12T17:30:00Z</dcterms:modified>
</cp:coreProperties>
</file>