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48"/>
        </w:rPr>
        <w:t>NC/SC Neighborhood Market</w:t>
        <w:br/>
        <w:t>Transition Monitor</w:t>
      </w:r>
    </w:p>
    <w:p/>
    <w:p>
      <w:pPr>
        <w:jc w:val="center"/>
      </w:pPr>
      <w:r>
        <w:rPr>
          <w:color w:val="6C757D"/>
          <w:sz w:val="24"/>
        </w:rPr>
        <w:t>Project Reference Guide — Spring 2026</w:t>
      </w:r>
    </w:p>
    <w:p>
      <w:pPr>
        <w:jc w:val="center"/>
      </w:pPr>
      <w:r>
        <w:rPr>
          <w:color w:val="6C757D"/>
          <w:sz w:val="22"/>
        </w:rPr>
        <w:t>Business Intelligence Group Project</w:t>
      </w:r>
    </w:p>
    <w:p/>
    <w:p>
      <w:pPr>
        <w:jc w:val="center"/>
      </w:pPr>
      <w:r>
        <w:rPr>
          <w:b/>
          <w:color w:val="E63946"/>
          <w:sz w:val="20"/>
        </w:rPr>
        <w:t>Live App:  https://huggingface.co/spaces/timagonch/nc-sc-market-monitor</w:t>
      </w:r>
    </w:p>
    <w:p>
      <w:r>
        <w:br w:type="page"/>
      </w:r>
    </w:p>
    <w:p>
      <w:pPr>
        <w:pStyle w:val="Heading1"/>
      </w:pPr>
      <w:r>
        <w:rPr>
          <w:color w:val="0D1B2A"/>
          <w:sz w:val="36"/>
        </w:rPr>
        <w:t>1. Executive Summary</w:t>
      </w:r>
    </w:p>
    <w:p>
      <w:r>
        <w:rPr>
          <w:color w:val="212529"/>
          <w:sz w:val="21"/>
        </w:rPr>
        <w:t>This project is an early-warning system for neighborhood housing market transitions across North Carolina and South Carolina. It identifies ZIP codes that are showing leading signals of sustained price momentum shifts — upward or downward — months before those shifts appear in widely-reported headline metrics.</w:t>
      </w:r>
    </w:p>
    <w:p>
      <w:r>
        <w:rPr>
          <w:color w:val="212529"/>
          <w:sz w:val="21"/>
        </w:rPr>
        <w:t>The core output is a per-ZIP opportunity score: the model-predicted probability that a ZIP will enter an upward housing transition over the next 12 months. A companion directional score (P(up) − P(down)) separates heating from cooling markets. Both are available at the monthly level for 655 NC/SC ZIP codes, with validated predictions for 2023 and an validated 2025 forward signal.</w:t>
      </w:r>
    </w:p>
    <w:p>
      <w:r>
        <w:rPr>
          <w:color w:val="212529"/>
          <w:sz w:val="21"/>
        </w:rPr>
        <w:t>The model is a Gradient Boosting classifier trained and evaluated using strict walk-forward validation (no random splits on time-series data). The winning model uses only Zillow and Redfin monthly data — 18 features — and achieves AUC 0.865 on the 2023 held-out test set. The 2024 predictions were subsequently validated against actual 2025 outcomes (AUC 0.7747), and the model was retrained on Jun 2019–Dec 2024 to generate the current 2025 forward signal.</w:t>
      </w:r>
    </w:p>
    <w:p>
      <w:pPr>
        <w:pStyle w:val="Heading2"/>
      </w:pPr>
      <w:r>
        <w:rPr>
          <w:color w:val="E63946"/>
          <w:sz w:val="26"/>
        </w:rPr>
        <w:t>Key Numbers at a Glance</w:t>
      </w:r>
    </w:p>
    <w:tbl>
      <w:tblPr>
        <w:tblStyle w:val="TableGrid"/>
        <w:tblW w:type="auto" w:w="0"/>
        <w:tblLook w:firstColumn="1" w:firstRow="1" w:lastColumn="0" w:lastRow="0" w:noHBand="0" w:noVBand="1" w:val="04A0"/>
      </w:tblPr>
      <w:tblGrid>
        <w:gridCol w:w="4464"/>
        <w:gridCol w:w="4464"/>
      </w:tblGrid>
      <w:tr>
        <w:tc>
          <w:tcPr>
            <w:tcW w:type="dxa" w:w="4464"/>
            <w:shd w:val="clear" w:color="auto" w:fill="0D1B2A"/>
          </w:tcPr>
          <w:p>
            <w:r>
              <w:rPr>
                <w:b/>
                <w:color w:val="FFFFFF"/>
                <w:sz w:val="19"/>
              </w:rPr>
              <w:t>Metric</w:t>
            </w:r>
          </w:p>
        </w:tc>
        <w:tc>
          <w:tcPr>
            <w:tcW w:type="dxa" w:w="4464"/>
            <w:shd w:val="clear" w:color="auto" w:fill="0D1B2A"/>
          </w:tcPr>
          <w:p>
            <w:r>
              <w:rPr>
                <w:b/>
                <w:color w:val="FFFFFF"/>
                <w:sz w:val="19"/>
              </w:rPr>
              <w:t>Value</w:t>
            </w:r>
          </w:p>
        </w:tc>
      </w:tr>
      <w:tr>
        <w:tc>
          <w:tcPr>
            <w:tcW w:type="dxa" w:w="4464"/>
            <w:shd w:val="clear" w:color="auto" w:fill="F8FAFC"/>
          </w:tcPr>
          <w:p>
            <w:r>
              <w:rPr>
                <w:sz w:val="19"/>
              </w:rPr>
              <w:t>ZIP codes covered</w:t>
            </w:r>
          </w:p>
        </w:tc>
        <w:tc>
          <w:tcPr>
            <w:tcW w:type="dxa" w:w="4464"/>
            <w:shd w:val="clear" w:color="auto" w:fill="F8FAFC"/>
          </w:tcPr>
          <w:p>
            <w:r>
              <w:rPr>
                <w:sz w:val="19"/>
              </w:rPr>
              <w:t>655 (NC and SC)</w:t>
            </w:r>
          </w:p>
        </w:tc>
      </w:tr>
      <w:tr>
        <w:tc>
          <w:tcPr>
            <w:tcW w:type="dxa" w:w="4464"/>
            <w:shd w:val="clear" w:color="auto" w:fill="FFFFFF"/>
          </w:tcPr>
          <w:p>
            <w:r>
              <w:rPr>
                <w:sz w:val="19"/>
              </w:rPr>
              <w:t>Training data window</w:t>
            </w:r>
          </w:p>
        </w:tc>
        <w:tc>
          <w:tcPr>
            <w:tcW w:type="dxa" w:w="4464"/>
            <w:shd w:val="clear" w:color="auto" w:fill="FFFFFF"/>
          </w:tcPr>
          <w:p>
            <w:r>
              <w:rPr>
                <w:sz w:val="19"/>
              </w:rPr>
              <w:t>Jun 2019 – Dec 2024 (retrained model)</w:t>
            </w:r>
          </w:p>
        </w:tc>
      </w:tr>
      <w:tr>
        <w:tc>
          <w:tcPr>
            <w:tcW w:type="dxa" w:w="4464"/>
            <w:shd w:val="clear" w:color="auto" w:fill="F8FAFC"/>
          </w:tcPr>
          <w:p>
            <w:r>
              <w:rPr>
                <w:sz w:val="19"/>
              </w:rPr>
              <w:t>Model</w:t>
            </w:r>
          </w:p>
        </w:tc>
        <w:tc>
          <w:tcPr>
            <w:tcW w:type="dxa" w:w="4464"/>
            <w:shd w:val="clear" w:color="auto" w:fill="F8FAFC"/>
          </w:tcPr>
          <w:p>
            <w:r>
              <w:rPr>
                <w:sz w:val="19"/>
              </w:rPr>
              <w:t>Gradient Boosting — Monthly-Only (Zillow + Redfin)</w:t>
            </w:r>
          </w:p>
        </w:tc>
      </w:tr>
      <w:tr>
        <w:tc>
          <w:tcPr>
            <w:tcW w:type="dxa" w:w="4464"/>
            <w:shd w:val="clear" w:color="auto" w:fill="FFFFFF"/>
          </w:tcPr>
          <w:p>
            <w:r>
              <w:rPr>
                <w:sz w:val="19"/>
              </w:rPr>
              <w:t>Features selected (RFECV)</w:t>
            </w:r>
          </w:p>
        </w:tc>
        <w:tc>
          <w:tcPr>
            <w:tcW w:type="dxa" w:w="4464"/>
            <w:shd w:val="clear" w:color="auto" w:fill="FFFFFF"/>
          </w:tcPr>
          <w:p>
            <w:r>
              <w:rPr>
                <w:sz w:val="19"/>
              </w:rPr>
              <w:t>18</w:t>
            </w:r>
          </w:p>
        </w:tc>
      </w:tr>
      <w:tr>
        <w:tc>
          <w:tcPr>
            <w:tcW w:type="dxa" w:w="4464"/>
            <w:shd w:val="clear" w:color="auto" w:fill="F8FAFC"/>
          </w:tcPr>
          <w:p>
            <w:r>
              <w:rPr>
                <w:sz w:val="19"/>
              </w:rPr>
              <w:t>Validation approach</w:t>
            </w:r>
          </w:p>
        </w:tc>
        <w:tc>
          <w:tcPr>
            <w:tcW w:type="dxa" w:w="4464"/>
            <w:shd w:val="clear" w:color="auto" w:fill="F8FAFC"/>
          </w:tcPr>
          <w:p>
            <w:r>
              <w:rPr>
                <w:sz w:val="19"/>
              </w:rPr>
              <w:t>Walk-forward — 5 folds / evaluation points</w:t>
            </w:r>
          </w:p>
        </w:tc>
      </w:tr>
      <w:tr>
        <w:tc>
          <w:tcPr>
            <w:tcW w:type="dxa" w:w="4464"/>
            <w:shd w:val="clear" w:color="auto" w:fill="FFFFFF"/>
          </w:tcPr>
          <w:p>
            <w:r>
              <w:rPr>
                <w:sz w:val="19"/>
              </w:rPr>
              <w:t>Primary AUC (test 2023)</w:t>
            </w:r>
          </w:p>
        </w:tc>
        <w:tc>
          <w:tcPr>
            <w:tcW w:type="dxa" w:w="4464"/>
            <w:shd w:val="clear" w:color="auto" w:fill="FFFFFF"/>
          </w:tcPr>
          <w:p>
            <w:r>
              <w:rPr>
                <w:sz w:val="19"/>
              </w:rPr>
              <w:t>0.865</w:t>
            </w:r>
          </w:p>
        </w:tc>
      </w:tr>
      <w:tr>
        <w:tc>
          <w:tcPr>
            <w:tcW w:type="dxa" w:w="4464"/>
            <w:shd w:val="clear" w:color="auto" w:fill="F8FAFC"/>
          </w:tcPr>
          <w:p>
            <w:r>
              <w:rPr>
                <w:sz w:val="19"/>
              </w:rPr>
              <w:t>2024 predictions vs 2025 actuals</w:t>
            </w:r>
          </w:p>
        </w:tc>
        <w:tc>
          <w:tcPr>
            <w:tcW w:type="dxa" w:w="4464"/>
            <w:shd w:val="clear" w:color="auto" w:fill="F8FAFC"/>
          </w:tcPr>
          <w:p>
            <w:r>
              <w:rPr>
                <w:sz w:val="19"/>
              </w:rPr>
              <w:t>AUC 0.7747 (retrospective validation)</w:t>
            </w:r>
          </w:p>
        </w:tc>
      </w:tr>
      <w:tr>
        <w:tc>
          <w:tcPr>
            <w:tcW w:type="dxa" w:w="4464"/>
            <w:shd w:val="clear" w:color="auto" w:fill="FFFFFF"/>
          </w:tcPr>
          <w:p>
            <w:r>
              <w:rPr>
                <w:sz w:val="19"/>
              </w:rPr>
              <w:t>Forward signal available</w:t>
            </w:r>
          </w:p>
        </w:tc>
        <w:tc>
          <w:tcPr>
            <w:tcW w:type="dxa" w:w="4464"/>
            <w:shd w:val="clear" w:color="auto" w:fill="FFFFFF"/>
          </w:tcPr>
          <w:p>
            <w:r>
              <w:rPr>
                <w:sz w:val="19"/>
              </w:rPr>
              <w:t>Dec 2025 – Nov 2026 (from Nov 2025 features)</w:t>
            </w:r>
          </w:p>
        </w:tc>
      </w:tr>
      <w:tr>
        <w:tc>
          <w:tcPr>
            <w:tcW w:type="dxa" w:w="4464"/>
            <w:shd w:val="clear" w:color="auto" w:fill="F8FAFC"/>
          </w:tcPr>
          <w:p>
            <w:r>
              <w:rPr>
                <w:sz w:val="19"/>
              </w:rPr>
              <w:t>Live app</w:t>
            </w:r>
          </w:p>
        </w:tc>
        <w:tc>
          <w:tcPr>
            <w:tcW w:type="dxa" w:w="4464"/>
            <w:shd w:val="clear" w:color="auto" w:fill="F8FAFC"/>
          </w:tcPr>
          <w:p>
            <w:r>
              <w:rPr>
                <w:sz w:val="19"/>
              </w:rPr>
              <w:t>huggingface.co/spaces/timagonch/nc-sc-market-monitor</w:t>
            </w:r>
          </w:p>
        </w:tc>
      </w:tr>
    </w:tbl>
    <w:p/>
    <w:p>
      <w:r>
        <w:br w:type="page"/>
      </w:r>
    </w:p>
    <w:p>
      <w:pPr>
        <w:pStyle w:val="Heading1"/>
      </w:pPr>
      <w:r>
        <w:rPr>
          <w:color w:val="0D1B2A"/>
          <w:sz w:val="36"/>
        </w:rPr>
        <w:t>2. Problem Framing</w:t>
      </w:r>
    </w:p>
    <w:p>
      <w:r>
        <w:rPr>
          <w:color w:val="212529"/>
          <w:sz w:val="21"/>
        </w:rPr>
        <w:t>A neighborhood transition is a sustained, directional shift in a ZIP code's housing market dynamics — typically visible in momentum data months before it shows up in prices. By the time median sale price in a neighborhood has clearly moved, the opportunity window for investors has often already closed.</w:t>
      </w:r>
    </w:p>
    <w:p>
      <w:r>
        <w:rPr>
          <w:color w:val="212529"/>
          <w:sz w:val="21"/>
        </w:rPr>
        <w:t>The goal is to detect early-stage transition signals using leading indicators (inventory trends, days-on-market acceleration, above-list sale rates) rather than lagging price metrics alone.</w:t>
      </w:r>
    </w:p>
    <w:p>
      <w:pPr>
        <w:pStyle w:val="Heading2"/>
      </w:pPr>
      <w:r>
        <w:rPr>
          <w:color w:val="E63946"/>
          <w:sz w:val="26"/>
        </w:rPr>
        <w:t>The Four Core Questions</w:t>
      </w:r>
    </w:p>
    <w:p>
      <w:pPr>
        <w:pStyle w:val="ListBullet"/>
      </w:pPr>
      <w:r>
        <w:rPr>
          <w:sz w:val="21"/>
        </w:rPr>
        <w:t>Which ZIPs are showing the strongest signals of emerging transition pressure?</w:t>
      </w:r>
    </w:p>
    <w:p>
      <w:pPr>
        <w:pStyle w:val="ListBullet"/>
      </w:pPr>
      <w:r>
        <w:rPr>
          <w:sz w:val="21"/>
        </w:rPr>
        <w:t>Are there distinct neighborhood market archetypes (structural market types) across NC/SC?</w:t>
      </w:r>
    </w:p>
    <w:p>
      <w:pPr>
        <w:pStyle w:val="ListBullet"/>
      </w:pPr>
      <w:r>
        <w:rPr>
          <w:sz w:val="21"/>
        </w:rPr>
        <w:t>Will a ZIP enter an upward or downward transition within the next 12 months?</w:t>
      </w:r>
    </w:p>
    <w:p>
      <w:pPr>
        <w:pStyle w:val="ListBullet"/>
      </w:pPr>
      <w:r>
        <w:rPr>
          <w:sz w:val="21"/>
        </w:rPr>
        <w:t>Which leading indicators drive that prediction most, and how much does each contribute?</w:t>
      </w:r>
    </w:p>
    <w:p>
      <w:pPr>
        <w:pStyle w:val="Heading2"/>
      </w:pPr>
      <w:r>
        <w:rPr>
          <w:color w:val="E63946"/>
          <w:sz w:val="26"/>
        </w:rPr>
        <w:t>Terminology — Important Distinctions</w:t>
      </w:r>
    </w:p>
    <w:p>
      <w:r>
        <w:rPr>
          <w:color w:val="212529"/>
          <w:sz w:val="21"/>
        </w:rPr>
        <w:t>These terms are used precisely throughout the project and the app. Using them correctly matters especially in a finance/investment context.</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Term</w:t>
            </w:r>
          </w:p>
        </w:tc>
        <w:tc>
          <w:tcPr>
            <w:tcW w:type="dxa" w:w="2976"/>
            <w:shd w:val="clear" w:color="auto" w:fill="0D1B2A"/>
          </w:tcPr>
          <w:p>
            <w:r>
              <w:rPr>
                <w:b/>
                <w:color w:val="FFFFFF"/>
                <w:sz w:val="19"/>
              </w:rPr>
              <w:t>Definition</w:t>
            </w:r>
          </w:p>
        </w:tc>
        <w:tc>
          <w:tcPr>
            <w:tcW w:type="dxa" w:w="2976"/>
            <w:shd w:val="clear" w:color="auto" w:fill="0D1B2A"/>
          </w:tcPr>
          <w:p>
            <w:r>
              <w:rPr>
                <w:b/>
                <w:color w:val="FFFFFF"/>
                <w:sz w:val="19"/>
              </w:rPr>
              <w:t>Why it matters</w:t>
            </w:r>
          </w:p>
        </w:tc>
      </w:tr>
      <w:tr>
        <w:tc>
          <w:tcPr>
            <w:tcW w:type="dxa" w:w="2976"/>
            <w:shd w:val="clear" w:color="auto" w:fill="F8FAFC"/>
          </w:tcPr>
          <w:p>
            <w:r>
              <w:rPr>
                <w:sz w:val="19"/>
              </w:rPr>
              <w:t>Opportunity score</w:t>
            </w:r>
          </w:p>
        </w:tc>
        <w:tc>
          <w:tcPr>
            <w:tcW w:type="dxa" w:w="2976"/>
            <w:shd w:val="clear" w:color="auto" w:fill="F8FAFC"/>
          </w:tcPr>
          <w:p>
            <w:r>
              <w:rPr>
                <w:sz w:val="19"/>
              </w:rPr>
              <w:t>Predicted probability of upward transition (binary model output). Range 0–1.</w:t>
            </w:r>
          </w:p>
        </w:tc>
        <w:tc>
          <w:tcPr>
            <w:tcW w:type="dxa" w:w="2976"/>
            <w:shd w:val="clear" w:color="auto" w:fill="F8FAFC"/>
          </w:tcPr>
          <w:p>
            <w:r>
              <w:rPr>
                <w:sz w:val="19"/>
              </w:rPr>
              <w:t>One-sided — only measures upward probability. A low score doesn't tell you if a market is cooling vs. stable.</w:t>
            </w:r>
          </w:p>
        </w:tc>
      </w:tr>
      <w:tr>
        <w:tc>
          <w:tcPr>
            <w:tcW w:type="dxa" w:w="2976"/>
            <w:shd w:val="clear" w:color="auto" w:fill="FFFFFF"/>
          </w:tcPr>
          <w:p>
            <w:r>
              <w:rPr>
                <w:sz w:val="19"/>
              </w:rPr>
              <w:t>Net direction score</w:t>
            </w:r>
          </w:p>
        </w:tc>
        <w:tc>
          <w:tcPr>
            <w:tcW w:type="dxa" w:w="2976"/>
            <w:shd w:val="clear" w:color="auto" w:fill="FFFFFF"/>
          </w:tcPr>
          <w:p>
            <w:r>
              <w:rPr>
                <w:sz w:val="19"/>
              </w:rPr>
              <w:t>P(up) − P(down) from the 3-class model. Range −1 to +1.</w:t>
            </w:r>
          </w:p>
        </w:tc>
        <w:tc>
          <w:tcPr>
            <w:tcW w:type="dxa" w:w="2976"/>
            <w:shd w:val="clear" w:color="auto" w:fill="FFFFFF"/>
          </w:tcPr>
          <w:p>
            <w:r>
              <w:rPr>
                <w:sz w:val="19"/>
              </w:rPr>
              <w:t>Two-sided — distinguishes heating, stable, and cooling. Use this to spot ZIPs to avoid, not just ZIPs to buy.</w:t>
            </w:r>
          </w:p>
        </w:tc>
      </w:tr>
      <w:tr>
        <w:tc>
          <w:tcPr>
            <w:tcW w:type="dxa" w:w="2976"/>
            <w:shd w:val="clear" w:color="auto" w:fill="F8FAFC"/>
          </w:tcPr>
          <w:p>
            <w:r>
              <w:rPr>
                <w:sz w:val="19"/>
              </w:rPr>
              <w:t>Cooling risk</w:t>
            </w:r>
          </w:p>
        </w:tc>
        <w:tc>
          <w:tcPr>
            <w:tcW w:type="dxa" w:w="2976"/>
            <w:shd w:val="clear" w:color="auto" w:fill="F8FAFC"/>
          </w:tcPr>
          <w:p>
            <w:r>
              <w:rPr>
                <w:sz w:val="19"/>
              </w:rPr>
              <w:t>Downward transition probability — the blue end of the direction map.</w:t>
            </w:r>
          </w:p>
        </w:tc>
        <w:tc>
          <w:tcPr>
            <w:tcW w:type="dxa" w:w="2976"/>
            <w:shd w:val="clear" w:color="auto" w:fill="F8FAFC"/>
          </w:tcPr>
          <w:p>
            <w:r>
              <w:rPr>
                <w:sz w:val="19"/>
              </w:rPr>
              <w:t>We never call upward transition probability 'risk'. In finance, risk implies downside. High opportunity = buy signal, not a warning.</w:t>
            </w:r>
          </w:p>
        </w:tc>
      </w:tr>
      <w:tr>
        <w:tc>
          <w:tcPr>
            <w:tcW w:type="dxa" w:w="2976"/>
            <w:shd w:val="clear" w:color="auto" w:fill="FFFFFF"/>
          </w:tcPr>
          <w:p>
            <w:r>
              <w:rPr>
                <w:sz w:val="19"/>
              </w:rPr>
              <w:t>Transition</w:t>
            </w:r>
          </w:p>
        </w:tc>
        <w:tc>
          <w:tcPr>
            <w:tcW w:type="dxa" w:w="2976"/>
            <w:shd w:val="clear" w:color="auto" w:fill="FFFFFF"/>
          </w:tcPr>
          <w:p>
            <w:r>
              <w:rPr>
                <w:sz w:val="19"/>
              </w:rPr>
              <w:t>A sustained, directional shift in market dynamics lasting 12+ months.</w:t>
            </w:r>
          </w:p>
        </w:tc>
        <w:tc>
          <w:tcPr>
            <w:tcW w:type="dxa" w:w="2976"/>
            <w:shd w:val="clear" w:color="auto" w:fill="FFFFFF"/>
          </w:tcPr>
          <w:p>
            <w:r>
              <w:rPr>
                <w:sz w:val="19"/>
              </w:rPr>
              <w:t>Not a one-month spike. The target is engineered over a forward 12-month window, not a single data point.</w:t>
            </w:r>
          </w:p>
        </w:tc>
      </w:tr>
    </w:tbl>
    <w:p/>
    <w:p>
      <w:r>
        <w:br w:type="page"/>
      </w:r>
    </w:p>
    <w:p>
      <w:pPr>
        <w:pStyle w:val="Heading1"/>
      </w:pPr>
      <w:r>
        <w:rPr>
          <w:color w:val="0D1B2A"/>
          <w:sz w:val="36"/>
        </w:rPr>
        <w:t>3. Data Sources</w:t>
      </w:r>
    </w:p>
    <w:p>
      <w:r>
        <w:rPr>
          <w:color w:val="212529"/>
          <w:sz w:val="21"/>
        </w:rPr>
        <w:t>Six sources were integrated. The final winning model uses only the two monthly sources (Zillow + Redfin). The annual sources were evaluated but dropped — see Section 6 for the reasoning.</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2A"/>
          </w:tcPr>
          <w:p>
            <w:r>
              <w:rPr>
                <w:b/>
                <w:color w:val="FFFFFF"/>
                <w:sz w:val="19"/>
              </w:rPr>
              <w:t>Source</w:t>
            </w:r>
          </w:p>
        </w:tc>
        <w:tc>
          <w:tcPr>
            <w:tcW w:type="dxa" w:w="2232"/>
            <w:shd w:val="clear" w:color="auto" w:fill="0D1B2A"/>
          </w:tcPr>
          <w:p>
            <w:r>
              <w:rPr>
                <w:b/>
                <w:color w:val="FFFFFF"/>
                <w:sz w:val="19"/>
              </w:rPr>
              <w:t>Frequency</w:t>
            </w:r>
          </w:p>
        </w:tc>
        <w:tc>
          <w:tcPr>
            <w:tcW w:type="dxa" w:w="2232"/>
            <w:shd w:val="clear" w:color="auto" w:fill="0D1B2A"/>
          </w:tcPr>
          <w:p>
            <w:r>
              <w:rPr>
                <w:b/>
                <w:color w:val="FFFFFF"/>
                <w:sz w:val="19"/>
              </w:rPr>
              <w:t>What it provides</w:t>
            </w:r>
          </w:p>
        </w:tc>
        <w:tc>
          <w:tcPr>
            <w:tcW w:type="dxa" w:w="2232"/>
            <w:shd w:val="clear" w:color="auto" w:fill="0D1B2A"/>
          </w:tcPr>
          <w:p>
            <w:r>
              <w:rPr>
                <w:b/>
                <w:color w:val="FFFFFF"/>
                <w:sz w:val="19"/>
              </w:rPr>
              <w:t>In final model?</w:t>
            </w:r>
          </w:p>
        </w:tc>
      </w:tr>
      <w:tr>
        <w:tc>
          <w:tcPr>
            <w:tcW w:type="dxa" w:w="2232"/>
            <w:shd w:val="clear" w:color="auto" w:fill="F8FAFC"/>
          </w:tcPr>
          <w:p>
            <w:r>
              <w:rPr>
                <w:sz w:val="19"/>
              </w:rPr>
              <w:t>Zillow Research (ZHVI)</w:t>
            </w:r>
          </w:p>
        </w:tc>
        <w:tc>
          <w:tcPr>
            <w:tcW w:type="dxa" w:w="2232"/>
            <w:shd w:val="clear" w:color="auto" w:fill="F8FAFC"/>
          </w:tcPr>
          <w:p>
            <w:r>
              <w:rPr>
                <w:sz w:val="19"/>
              </w:rPr>
              <w:t>Monthly</w:t>
            </w:r>
          </w:p>
        </w:tc>
        <w:tc>
          <w:tcPr>
            <w:tcW w:type="dxa" w:w="2232"/>
            <w:shd w:val="clear" w:color="auto" w:fill="F8FAFC"/>
          </w:tcPr>
          <w:p>
            <w:r>
              <w:rPr>
                <w:sz w:val="19"/>
              </w:rPr>
              <w:t>Home Value Index by ZIP code</w:t>
            </w:r>
          </w:p>
        </w:tc>
        <w:tc>
          <w:tcPr>
            <w:tcW w:type="dxa" w:w="2232"/>
            <w:shd w:val="clear" w:color="auto" w:fill="F8FAFC"/>
          </w:tcPr>
          <w:p>
            <w:r>
              <w:rPr>
                <w:sz w:val="19"/>
              </w:rPr>
              <w:t>Yes</w:t>
            </w:r>
          </w:p>
        </w:tc>
      </w:tr>
      <w:tr>
        <w:tc>
          <w:tcPr>
            <w:tcW w:type="dxa" w:w="2232"/>
            <w:shd w:val="clear" w:color="auto" w:fill="FFFFFF"/>
          </w:tcPr>
          <w:p>
            <w:r>
              <w:rPr>
                <w:sz w:val="19"/>
              </w:rPr>
              <w:t>Redfin Market Tracker</w:t>
            </w:r>
          </w:p>
        </w:tc>
        <w:tc>
          <w:tcPr>
            <w:tcW w:type="dxa" w:w="2232"/>
            <w:shd w:val="clear" w:color="auto" w:fill="FFFFFF"/>
          </w:tcPr>
          <w:p>
            <w:r>
              <w:rPr>
                <w:sz w:val="19"/>
              </w:rPr>
              <w:t>Monthly</w:t>
            </w:r>
          </w:p>
        </w:tc>
        <w:tc>
          <w:tcPr>
            <w:tcW w:type="dxa" w:w="2232"/>
            <w:shd w:val="clear" w:color="auto" w:fill="FFFFFF"/>
          </w:tcPr>
          <w:p>
            <w:r>
              <w:rPr>
                <w:sz w:val="19"/>
              </w:rPr>
              <w:t>Sale/list price, inventory, DOM, sale-to-list ratio, homes sold, off-market speed</w:t>
            </w:r>
          </w:p>
        </w:tc>
        <w:tc>
          <w:tcPr>
            <w:tcW w:type="dxa" w:w="2232"/>
            <w:shd w:val="clear" w:color="auto" w:fill="FFFFFF"/>
          </w:tcPr>
          <w:p>
            <w:r>
              <w:rPr>
                <w:sz w:val="19"/>
              </w:rPr>
              <w:t>Yes</w:t>
            </w:r>
          </w:p>
        </w:tc>
      </w:tr>
      <w:tr>
        <w:tc>
          <w:tcPr>
            <w:tcW w:type="dxa" w:w="2232"/>
            <w:shd w:val="clear" w:color="auto" w:fill="F8FAFC"/>
          </w:tcPr>
          <w:p>
            <w:r>
              <w:rPr>
                <w:sz w:val="19"/>
              </w:rPr>
              <w:t>ACS 5-year estimates</w:t>
            </w:r>
          </w:p>
        </w:tc>
        <w:tc>
          <w:tcPr>
            <w:tcW w:type="dxa" w:w="2232"/>
            <w:shd w:val="clear" w:color="auto" w:fill="F8FAFC"/>
          </w:tcPr>
          <w:p>
            <w:r>
              <w:rPr>
                <w:sz w:val="19"/>
              </w:rPr>
              <w:t>Annual</w:t>
            </w:r>
          </w:p>
        </w:tc>
        <w:tc>
          <w:tcPr>
            <w:tcW w:type="dxa" w:w="2232"/>
            <w:shd w:val="clear" w:color="auto" w:fill="F8FAFC"/>
          </w:tcPr>
          <w:p>
            <w:r>
              <w:rPr>
                <w:sz w:val="19"/>
              </w:rPr>
              <w:t>Median income, rent, home value, owner occupancy rate</w:t>
            </w:r>
          </w:p>
        </w:tc>
        <w:tc>
          <w:tcPr>
            <w:tcW w:type="dxa" w:w="2232"/>
            <w:shd w:val="clear" w:color="auto" w:fill="F8FAFC"/>
          </w:tcPr>
          <w:p>
            <w:r>
              <w:rPr>
                <w:sz w:val="19"/>
              </w:rPr>
              <w:t>No — dropped</w:t>
            </w:r>
          </w:p>
        </w:tc>
      </w:tr>
      <w:tr>
        <w:tc>
          <w:tcPr>
            <w:tcW w:type="dxa" w:w="2232"/>
            <w:shd w:val="clear" w:color="auto" w:fill="FFFFFF"/>
          </w:tcPr>
          <w:p>
            <w:r>
              <w:rPr>
                <w:sz w:val="19"/>
              </w:rPr>
              <w:t>County Business Patterns (CBP)</w:t>
            </w:r>
          </w:p>
        </w:tc>
        <w:tc>
          <w:tcPr>
            <w:tcW w:type="dxa" w:w="2232"/>
            <w:shd w:val="clear" w:color="auto" w:fill="FFFFFF"/>
          </w:tcPr>
          <w:p>
            <w:r>
              <w:rPr>
                <w:sz w:val="19"/>
              </w:rPr>
              <w:t>Annual</w:t>
            </w:r>
          </w:p>
        </w:tc>
        <w:tc>
          <w:tcPr>
            <w:tcW w:type="dxa" w:w="2232"/>
            <w:shd w:val="clear" w:color="auto" w:fill="FFFFFF"/>
          </w:tcPr>
          <w:p>
            <w:r>
              <w:rPr>
                <w:sz w:val="19"/>
              </w:rPr>
              <w:t>Establishments, employment, annual payroll</w:t>
            </w:r>
          </w:p>
        </w:tc>
        <w:tc>
          <w:tcPr>
            <w:tcW w:type="dxa" w:w="2232"/>
            <w:shd w:val="clear" w:color="auto" w:fill="FFFFFF"/>
          </w:tcPr>
          <w:p>
            <w:r>
              <w:rPr>
                <w:sz w:val="19"/>
              </w:rPr>
              <w:t>No — dropped</w:t>
            </w:r>
          </w:p>
        </w:tc>
      </w:tr>
      <w:tr>
        <w:tc>
          <w:tcPr>
            <w:tcW w:type="dxa" w:w="2232"/>
            <w:shd w:val="clear" w:color="auto" w:fill="F8FAFC"/>
          </w:tcPr>
          <w:p>
            <w:r>
              <w:rPr>
                <w:sz w:val="19"/>
              </w:rPr>
              <w:t>IRS Statistics of Income (SOI)</w:t>
            </w:r>
          </w:p>
        </w:tc>
        <w:tc>
          <w:tcPr>
            <w:tcW w:type="dxa" w:w="2232"/>
            <w:shd w:val="clear" w:color="auto" w:fill="F8FAFC"/>
          </w:tcPr>
          <w:p>
            <w:r>
              <w:rPr>
                <w:sz w:val="19"/>
              </w:rPr>
              <w:t>Annual</w:t>
            </w:r>
          </w:p>
        </w:tc>
        <w:tc>
          <w:tcPr>
            <w:tcW w:type="dxa" w:w="2232"/>
            <w:shd w:val="clear" w:color="auto" w:fill="F8FAFC"/>
          </w:tcPr>
          <w:p>
            <w:r>
              <w:rPr>
                <w:sz w:val="19"/>
              </w:rPr>
              <w:t>ZIP-level income and tax return indicators</w:t>
            </w:r>
          </w:p>
        </w:tc>
        <w:tc>
          <w:tcPr>
            <w:tcW w:type="dxa" w:w="2232"/>
            <w:shd w:val="clear" w:color="auto" w:fill="F8FAFC"/>
          </w:tcPr>
          <w:p>
            <w:r>
              <w:rPr>
                <w:sz w:val="19"/>
              </w:rPr>
              <w:t>No — dropped</w:t>
            </w:r>
          </w:p>
        </w:tc>
      </w:tr>
      <w:tr>
        <w:tc>
          <w:tcPr>
            <w:tcW w:type="dxa" w:w="2232"/>
            <w:shd w:val="clear" w:color="auto" w:fill="FFFFFF"/>
          </w:tcPr>
          <w:p>
            <w:r>
              <w:rPr>
                <w:sz w:val="19"/>
              </w:rPr>
              <w:t>Freddie Mac PMMS</w:t>
            </w:r>
          </w:p>
        </w:tc>
        <w:tc>
          <w:tcPr>
            <w:tcW w:type="dxa" w:w="2232"/>
            <w:shd w:val="clear" w:color="auto" w:fill="FFFFFF"/>
          </w:tcPr>
          <w:p>
            <w:r>
              <w:rPr>
                <w:sz w:val="19"/>
              </w:rPr>
              <w:t>Weekly</w:t>
            </w:r>
          </w:p>
        </w:tc>
        <w:tc>
          <w:tcPr>
            <w:tcW w:type="dxa" w:w="2232"/>
            <w:shd w:val="clear" w:color="auto" w:fill="FFFFFF"/>
          </w:tcPr>
          <w:p>
            <w:r>
              <w:rPr>
                <w:sz w:val="19"/>
              </w:rPr>
              <w:t>30yr/15yr/ARM mortgage rates</w:t>
            </w:r>
          </w:p>
        </w:tc>
        <w:tc>
          <w:tcPr>
            <w:tcW w:type="dxa" w:w="2232"/>
            <w:shd w:val="clear" w:color="auto" w:fill="FFFFFF"/>
          </w:tcPr>
          <w:p>
            <w:r>
              <w:rPr>
                <w:sz w:val="19"/>
              </w:rPr>
              <w:t>No — excluded early</w:t>
            </w:r>
          </w:p>
        </w:tc>
      </w:tr>
    </w:tbl>
    <w:p/>
    <w:p>
      <w:pPr>
        <w:pStyle w:val="Heading2"/>
      </w:pPr>
      <w:r>
        <w:rPr>
          <w:color w:val="E63946"/>
          <w:sz w:val="26"/>
        </w:rPr>
        <w:t>Why Mortgage Rates Were Excluded Early</w:t>
      </w:r>
    </w:p>
    <w:p/>
    <w:p>
      <w:pPr>
        <w:ind w:left="432" w:right="432"/>
        <w:shd w:val="clear" w:color="auto" w:fill="0D1B2A"/>
      </w:pPr>
      <w:r>
        <w:rPr>
          <w:b/>
          <w:color w:val="FFFFFF"/>
          <w:sz w:val="20"/>
        </w:rPr>
        <w:t xml:space="preserve">  DECISION: Remove Freddie Mac mortgage rate features before modeling  </w:t>
      </w:r>
    </w:p>
    <w:p>
      <w:pPr>
        <w:ind w:left="432" w:right="432"/>
      </w:pPr>
      <w:r>
        <w:rPr>
          <w:b/>
          <w:sz w:val="20"/>
        </w:rPr>
        <w:t xml:space="preserve">Why: </w:t>
      </w:r>
      <w:r>
        <w:rPr>
          <w:sz w:val="20"/>
        </w:rPr>
        <w:t>Mortgage rates are national — they have zero variance across ZIP codes within any given month. Including them lets the model learn that 'when rates are low, transitions happen', which is a temporal trend, not a ZIP-specific signal. In V1 of the model, mortgage_rate_30yr was the single most important feature — which was a red flag, not a success. A model that predicts based on national rate levels cannot help identify which specific ZIPs to target.</w:t>
      </w:r>
    </w:p>
    <w:p>
      <w:pPr>
        <w:ind w:left="432" w:right="432"/>
      </w:pPr>
      <w:r>
        <w:rPr>
          <w:b/>
          <w:color w:val="E63946"/>
          <w:sz w:val="20"/>
        </w:rPr>
        <w:t xml:space="preserve">Implication: </w:t>
      </w:r>
      <w:r>
        <w:rPr>
          <w:sz w:val="20"/>
        </w:rPr>
        <w:t>All mortgage features were removed before any model comparison. This dropped V1 AUC from 0.861 to 0.847 — a small and acceptable cost for a model that actually captures ZIP-level differentiation.</w:t>
      </w:r>
    </w:p>
    <w:p/>
    <w:p>
      <w:pPr>
        <w:pStyle w:val="Heading2"/>
      </w:pPr>
      <w:r>
        <w:rPr>
          <w:color w:val="E63946"/>
          <w:sz w:val="26"/>
        </w:rPr>
        <w:t>Why Annual Sources Were Dropped from the Final Model</w:t>
      </w:r>
    </w:p>
    <w:p/>
    <w:p>
      <w:pPr>
        <w:ind w:left="432" w:right="432"/>
        <w:shd w:val="clear" w:color="auto" w:fill="0D1B2A"/>
      </w:pPr>
      <w:r>
        <w:rPr>
          <w:b/>
          <w:color w:val="FFFFFF"/>
          <w:sz w:val="20"/>
        </w:rPr>
        <w:t xml:space="preserve">  DECISION: Drop ACS, CBP, and IRS annual features from the winning model  </w:t>
      </w:r>
    </w:p>
    <w:p>
      <w:pPr>
        <w:ind w:left="432" w:right="432"/>
      </w:pPr>
      <w:r>
        <w:rPr>
          <w:b/>
          <w:sz w:val="20"/>
        </w:rPr>
        <w:t xml:space="preserve">Why: </w:t>
      </w:r>
      <w:r>
        <w:rPr>
          <w:sz w:val="20"/>
        </w:rPr>
        <w:t>After RFECV feature selection on all sources combined (V3 model), the 17 annual features ranked #12 through #27 in permutation importance (0.0008–0.0024 vs. 0.046 for the top feature). They were providing almost no marginal information beyond what the monthly features already captured. More importantly, annual data has a structural lag — ACS estimates for year Y are published in year Y+1, meaning the model would be using information that wasn't actually available at prediction time in real deployment.</w:t>
      </w:r>
    </w:p>
    <w:p>
      <w:pPr>
        <w:ind w:left="432" w:right="432"/>
      </w:pPr>
      <w:r>
        <w:rPr>
          <w:b/>
          <w:color w:val="E63946"/>
          <w:sz w:val="20"/>
        </w:rPr>
        <w:t xml:space="preserve">Implication: </w:t>
      </w:r>
      <w:r>
        <w:rPr>
          <w:sz w:val="20"/>
        </w:rPr>
        <w:t>The monthly-only model (V3 without annual features) achieved higher AUC (0.865 vs 0.852) than V3 with all sources, and higher F1. Removing the annual features forced RFECV to select better monthly substitutes and eliminated the data-lag problem. It also unlocks future extension: Redfin data is available back to 2012, meaning the model could be retrained with 4x more data and validated on 2023/2024 without any annual survey dependency.</w:t>
      </w:r>
    </w:p>
    <w:p/>
    <w:p>
      <w:r>
        <w:br w:type="page"/>
      </w:r>
    </w:p>
    <w:p>
      <w:pPr>
        <w:pStyle w:val="Heading1"/>
      </w:pPr>
      <w:r>
        <w:rPr>
          <w:color w:val="0D1B2A"/>
          <w:sz w:val="36"/>
        </w:rPr>
        <w:t>4. ZIP Code Coverage Decisions</w:t>
      </w:r>
    </w:p>
    <w:p>
      <w:r>
        <w:rPr>
          <w:color w:val="212529"/>
          <w:sz w:val="21"/>
        </w:rPr>
        <w:t>The raw dataset began with all NC/SC ZIP codes in the Zillow universe. Several filtering steps reduced and then partially recovered this set. Understanding these steps is important because they define which ZIPs the model can speak to — and which it cannot.</w:t>
      </w:r>
    </w:p>
    <w:p>
      <w:pPr>
        <w:pStyle w:val="Heading2"/>
      </w:pPr>
      <w:r>
        <w:rPr>
          <w:color w:val="E63946"/>
          <w:sz w:val="26"/>
        </w:rPr>
        <w:t>Step 1 — Redfin Coverage Filter</w:t>
      </w:r>
    </w:p>
    <w:p>
      <w:r>
        <w:rPr>
          <w:color w:val="212529"/>
          <w:sz w:val="21"/>
        </w:rPr>
        <w:t>Redfin's Market Tracker only covers ZIPs with sufficient transaction volume to report reliable monthly statistics. ZIPs with no Redfin coverage at all were removed from the universe entirely.</w:t>
      </w:r>
    </w:p>
    <w:p/>
    <w:p>
      <w:pPr>
        <w:ind w:left="432" w:right="432"/>
        <w:shd w:val="clear" w:color="auto" w:fill="0D1B2A"/>
      </w:pPr>
      <w:r>
        <w:rPr>
          <w:b/>
          <w:color w:val="FFFFFF"/>
          <w:sz w:val="20"/>
        </w:rPr>
        <w:t xml:space="preserve">  DECISION: Remove ZIPs with no Redfin coverage  </w:t>
      </w:r>
    </w:p>
    <w:p>
      <w:pPr>
        <w:ind w:left="432" w:right="432"/>
      </w:pPr>
      <w:r>
        <w:rPr>
          <w:b/>
          <w:sz w:val="20"/>
        </w:rPr>
        <w:t xml:space="preserve">Why: </w:t>
      </w:r>
      <w:r>
        <w:rPr>
          <w:sz w:val="20"/>
        </w:rPr>
        <w:t>The model relies heavily on Redfin features (inventory trends, DOM, sale-to-list ratios). A ZIP with no Redfin data cannot be scored by the model.</w:t>
      </w:r>
    </w:p>
    <w:p>
      <w:pPr>
        <w:ind w:left="432" w:right="432"/>
      </w:pPr>
      <w:r>
        <w:rPr>
          <w:b/>
          <w:color w:val="E63946"/>
          <w:sz w:val="20"/>
        </w:rPr>
        <w:t xml:space="preserve">Implication: </w:t>
      </w:r>
      <w:r>
        <w:rPr>
          <w:sz w:val="20"/>
        </w:rPr>
        <w:t>Reduced the universe from all NC/SC ZIPs to 675 ZIPs with at least some Redfin coverage.</w:t>
      </w:r>
    </w:p>
    <w:p/>
    <w:p>
      <w:pPr>
        <w:pStyle w:val="Heading2"/>
      </w:pPr>
      <w:r>
        <w:rPr>
          <w:color w:val="E63946"/>
          <w:sz w:val="26"/>
        </w:rPr>
        <w:t>Step 2 — Continuity Filter (Initial: Too Strict)</w:t>
      </w:r>
    </w:p>
    <w:p>
      <w:r>
        <w:rPr>
          <w:color w:val="212529"/>
          <w:sz w:val="21"/>
        </w:rPr>
        <w:t>After Redfin filtering, ZIPs with long gaps (missing streaks) in any of the model feature columns were removed. The initial implementation checked all 39 model columns — meaning a ZIP was dropped if it had gaps in any feature, including annual ACS/IRS features which legitimately have gaps by design.</w:t>
      </w:r>
    </w:p>
    <w:p/>
    <w:p>
      <w:pPr>
        <w:ind w:left="432" w:right="432"/>
        <w:shd w:val="clear" w:color="auto" w:fill="0D1B2A"/>
      </w:pPr>
      <w:r>
        <w:rPr>
          <w:b/>
          <w:color w:val="FFFFFF"/>
          <w:sz w:val="20"/>
        </w:rPr>
        <w:t xml:space="preserve">  DECISION: Relax the streak filter from all 39 columns to the 5 base columns only  </w:t>
      </w:r>
    </w:p>
    <w:p>
      <w:pPr>
        <w:ind w:left="432" w:right="432"/>
      </w:pPr>
      <w:r>
        <w:rPr>
          <w:b/>
          <w:sz w:val="20"/>
        </w:rPr>
        <w:t xml:space="preserve">Why: </w:t>
      </w:r>
      <w:r>
        <w:rPr>
          <w:sz w:val="20"/>
        </w:rPr>
        <w:t>The original 39-column check was dropping ZIPs that had complete monthly data but incidental gaps in annual survey columns (ACS, CBP, IRS). These annual gaps are not real data quality problems — they're an artifact of how annual data is joined to monthly panels. Since the winning model doesn't use annual features anyway, these ZIPs should not have been excluded.</w:t>
      </w:r>
    </w:p>
    <w:p>
      <w:pPr>
        <w:ind w:left="432" w:right="432"/>
      </w:pPr>
      <w:r>
        <w:rPr>
          <w:b/>
          <w:color w:val="E63946"/>
          <w:sz w:val="20"/>
        </w:rPr>
        <w:t xml:space="preserve">Implication: </w:t>
      </w:r>
      <w:r>
        <w:rPr>
          <w:sz w:val="20"/>
        </w:rPr>
        <w:t>Recovered 115 additional ZIPs — expanding coverage from 540 to 655 ZIPs. The 5 base columns checked are: zhvi (Zillow), HOMES_SOLD, INVENTORY_mom_pct, INVENTORY_yoy_pct, and B25077_001E (ACS median owner home value — one annual feature kept as a baseline context variable). 83 ZIPs with genuine monthly data gaps remain excluded.</w:t>
      </w:r>
    </w:p>
    <w:p/>
    <w:p>
      <w:pPr>
        <w:pStyle w:val="Heading2"/>
      </w:pPr>
      <w:r>
        <w:rPr>
          <w:color w:val="E63946"/>
          <w:sz w:val="26"/>
        </w:rPr>
        <w:t>Step 3 — GeoJSON Map Update</w:t>
      </w:r>
    </w:p>
    <w:p>
      <w:r>
        <w:rPr>
          <w:color w:val="212529"/>
          <w:sz w:val="21"/>
        </w:rPr>
        <w:t>The choropleth maps in the app use a GeoJSON file of Census ZCTA (ZIP Code Tabulation Area) boundaries. The original GeoJSON was built for 540 ZIPs. After expanding to 655, the map was silently missing 119 ZIPs — they had model predictions but no geometry, so they were invisible on the map.</w:t>
      </w:r>
    </w:p>
    <w:p/>
    <w:p>
      <w:pPr>
        <w:ind w:left="432" w:right="432"/>
        <w:shd w:val="clear" w:color="auto" w:fill="0D1B2A"/>
      </w:pPr>
      <w:r>
        <w:rPr>
          <w:b/>
          <w:color w:val="FFFFFF"/>
          <w:sz w:val="20"/>
        </w:rPr>
        <w:t xml:space="preserve">  DECISION: Rebuild nc_sc_zips.geojson from the Census 2020 500k cartographic boundary file  </w:t>
      </w:r>
    </w:p>
    <w:p>
      <w:pPr>
        <w:ind w:left="432" w:right="432"/>
      </w:pPr>
      <w:r>
        <w:rPr>
          <w:b/>
          <w:sz w:val="20"/>
        </w:rPr>
        <w:t xml:space="preserve">Why: </w:t>
      </w:r>
      <w:r>
        <w:rPr>
          <w:sz w:val="20"/>
        </w:rPr>
        <w:t>The existing GeoJSON was pre-filtered to the original 540 ZIPs and couldn't be updated by hand. The Census 500k shapefile was already downloaded locally, so we used pyshp to extract and convert the boundaries for all 655 model ZIPs to GeoJSON.</w:t>
      </w:r>
    </w:p>
    <w:p>
      <w:pPr>
        <w:ind w:left="432" w:right="432"/>
      </w:pPr>
      <w:r>
        <w:rPr>
          <w:b/>
          <w:color w:val="E63946"/>
          <w:sz w:val="20"/>
        </w:rPr>
        <w:t xml:space="preserve">Implication: </w:t>
      </w:r>
      <w:r>
        <w:rPr>
          <w:sz w:val="20"/>
        </w:rPr>
        <w:t>The GeoJSON grew from 540 features (629KB) to 655 features (4MB). All ZIPs are now visible on the map. The 4MB size is still manageable for Plotly choropleth rendering.</w:t>
      </w:r>
    </w:p>
    <w:p/>
    <w:p>
      <w:pPr>
        <w:pStyle w:val="Heading2"/>
      </w:pPr>
      <w:r>
        <w:rPr>
          <w:color w:val="E63946"/>
          <w:sz w:val="26"/>
        </w:rPr>
        <w:t>Final ZIP Count Summary</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Stage</w:t>
            </w:r>
          </w:p>
        </w:tc>
        <w:tc>
          <w:tcPr>
            <w:tcW w:type="dxa" w:w="2976"/>
            <w:shd w:val="clear" w:color="auto" w:fill="0D1B2A"/>
          </w:tcPr>
          <w:p>
            <w:r>
              <w:rPr>
                <w:b/>
                <w:color w:val="FFFFFF"/>
                <w:sz w:val="19"/>
              </w:rPr>
              <w:t>ZIPs</w:t>
            </w:r>
          </w:p>
        </w:tc>
        <w:tc>
          <w:tcPr>
            <w:tcW w:type="dxa" w:w="2976"/>
            <w:shd w:val="clear" w:color="auto" w:fill="0D1B2A"/>
          </w:tcPr>
          <w:p>
            <w:r>
              <w:rPr>
                <w:b/>
                <w:color w:val="FFFFFF"/>
                <w:sz w:val="19"/>
              </w:rPr>
              <w:t>Reason for change</w:t>
            </w:r>
          </w:p>
        </w:tc>
      </w:tr>
      <w:tr>
        <w:tc>
          <w:tcPr>
            <w:tcW w:type="dxa" w:w="2976"/>
            <w:shd w:val="clear" w:color="auto" w:fill="F8FAFC"/>
          </w:tcPr>
          <w:p>
            <w:r>
              <w:rPr>
                <w:sz w:val="19"/>
              </w:rPr>
              <w:t>All NC/SC ZIPs in Zillow universe</w:t>
            </w:r>
          </w:p>
        </w:tc>
        <w:tc>
          <w:tcPr>
            <w:tcW w:type="dxa" w:w="2976"/>
            <w:shd w:val="clear" w:color="auto" w:fill="F8FAFC"/>
          </w:tcPr>
          <w:p>
            <w:r>
              <w:rPr>
                <w:sz w:val="19"/>
              </w:rPr>
              <w:t>~800+</w:t>
            </w:r>
          </w:p>
        </w:tc>
        <w:tc>
          <w:tcPr>
            <w:tcW w:type="dxa" w:w="2976"/>
            <w:shd w:val="clear" w:color="auto" w:fill="F8FAFC"/>
          </w:tcPr>
          <w:p>
            <w:r>
              <w:rPr>
                <w:sz w:val="19"/>
              </w:rPr>
              <w:t>Starting point</w:t>
            </w:r>
          </w:p>
        </w:tc>
      </w:tr>
      <w:tr>
        <w:tc>
          <w:tcPr>
            <w:tcW w:type="dxa" w:w="2976"/>
            <w:shd w:val="clear" w:color="auto" w:fill="FFFFFF"/>
          </w:tcPr>
          <w:p>
            <w:r>
              <w:rPr>
                <w:sz w:val="19"/>
              </w:rPr>
              <w:t>After Redfin coverage filter</w:t>
            </w:r>
          </w:p>
        </w:tc>
        <w:tc>
          <w:tcPr>
            <w:tcW w:type="dxa" w:w="2976"/>
            <w:shd w:val="clear" w:color="auto" w:fill="FFFFFF"/>
          </w:tcPr>
          <w:p>
            <w:r>
              <w:rPr>
                <w:sz w:val="19"/>
              </w:rPr>
              <w:t>675</w:t>
            </w:r>
          </w:p>
        </w:tc>
        <w:tc>
          <w:tcPr>
            <w:tcW w:type="dxa" w:w="2976"/>
            <w:shd w:val="clear" w:color="auto" w:fill="FFFFFF"/>
          </w:tcPr>
          <w:p>
            <w:r>
              <w:rPr>
                <w:sz w:val="19"/>
              </w:rPr>
              <w:t>Removed ZIPs with no Redfin data at all</w:t>
            </w:r>
          </w:p>
        </w:tc>
      </w:tr>
      <w:tr>
        <w:tc>
          <w:tcPr>
            <w:tcW w:type="dxa" w:w="2976"/>
            <w:shd w:val="clear" w:color="auto" w:fill="F8FAFC"/>
          </w:tcPr>
          <w:p>
            <w:r>
              <w:rPr>
                <w:sz w:val="19"/>
              </w:rPr>
              <w:t>After original 39-column streak filter</w:t>
            </w:r>
          </w:p>
        </w:tc>
        <w:tc>
          <w:tcPr>
            <w:tcW w:type="dxa" w:w="2976"/>
            <w:shd w:val="clear" w:color="auto" w:fill="F8FAFC"/>
          </w:tcPr>
          <w:p>
            <w:r>
              <w:rPr>
                <w:sz w:val="19"/>
              </w:rPr>
              <w:t>540</w:t>
            </w:r>
          </w:p>
        </w:tc>
        <w:tc>
          <w:tcPr>
            <w:tcW w:type="dxa" w:w="2976"/>
            <w:shd w:val="clear" w:color="auto" w:fill="F8FAFC"/>
          </w:tcPr>
          <w:p>
            <w:r>
              <w:rPr>
                <w:sz w:val="19"/>
              </w:rPr>
              <w:t>Removed ZIPs with gaps in any model column (too strict)</w:t>
            </w:r>
          </w:p>
        </w:tc>
      </w:tr>
      <w:tr>
        <w:tc>
          <w:tcPr>
            <w:tcW w:type="dxa" w:w="2976"/>
            <w:shd w:val="clear" w:color="auto" w:fill="FFFFFF"/>
          </w:tcPr>
          <w:p>
            <w:r>
              <w:rPr>
                <w:sz w:val="19"/>
              </w:rPr>
              <w:t>After relaxed 5-column streak filter</w:t>
            </w:r>
          </w:p>
        </w:tc>
        <w:tc>
          <w:tcPr>
            <w:tcW w:type="dxa" w:w="2976"/>
            <w:shd w:val="clear" w:color="auto" w:fill="FFFFFF"/>
          </w:tcPr>
          <w:p>
            <w:r>
              <w:rPr>
                <w:sz w:val="19"/>
              </w:rPr>
              <w:t>655</w:t>
            </w:r>
          </w:p>
        </w:tc>
        <w:tc>
          <w:tcPr>
            <w:tcW w:type="dxa" w:w="2976"/>
            <w:shd w:val="clear" w:color="auto" w:fill="FFFFFF"/>
          </w:tcPr>
          <w:p>
            <w:r>
              <w:rPr>
                <w:sz w:val="19"/>
              </w:rPr>
              <w:t>Recovered ZIPs with gaps only in annual columns</w:t>
            </w:r>
          </w:p>
        </w:tc>
      </w:tr>
      <w:tr>
        <w:tc>
          <w:tcPr>
            <w:tcW w:type="dxa" w:w="2976"/>
            <w:shd w:val="clear" w:color="auto" w:fill="F8FAFC"/>
          </w:tcPr>
          <w:p>
            <w:r>
              <w:rPr>
                <w:sz w:val="19"/>
              </w:rPr>
              <w:t>ZIPs still excluded</w:t>
            </w:r>
          </w:p>
        </w:tc>
        <w:tc>
          <w:tcPr>
            <w:tcW w:type="dxa" w:w="2976"/>
            <w:shd w:val="clear" w:color="auto" w:fill="F8FAFC"/>
          </w:tcPr>
          <w:p>
            <w:r>
              <w:rPr>
                <w:sz w:val="19"/>
              </w:rPr>
              <w:t>20</w:t>
            </w:r>
          </w:p>
        </w:tc>
        <w:tc>
          <w:tcPr>
            <w:tcW w:type="dxa" w:w="2976"/>
            <w:shd w:val="clear" w:color="auto" w:fill="F8FAFC"/>
          </w:tcPr>
          <w:p>
            <w:r>
              <w:rPr>
                <w:sz w:val="19"/>
              </w:rPr>
              <w:t>83 ZIPs with genuine monthly data gaps remain out</w:t>
            </w:r>
          </w:p>
        </w:tc>
      </w:tr>
    </w:tbl>
    <w:p/>
    <w:p>
      <w:r>
        <w:br w:type="page"/>
      </w:r>
    </w:p>
    <w:p>
      <w:pPr>
        <w:pStyle w:val="Heading1"/>
      </w:pPr>
      <w:r>
        <w:rPr>
          <w:color w:val="0D1B2A"/>
          <w:sz w:val="36"/>
        </w:rPr>
        <w:t>5. Target Variable Construction</w:t>
      </w:r>
    </w:p>
    <w:p>
      <w:r>
        <w:rPr>
          <w:color w:val="212529"/>
          <w:sz w:val="21"/>
        </w:rPr>
        <w:t>One of the most consequential design decisions in the project was how to define what we are trying to predict. There is no pre-labeled dataset of 'neighborhood transitions' — we had to engineer the target from raw market data.</w:t>
      </w:r>
    </w:p>
    <w:p>
      <w:pPr>
        <w:pStyle w:val="Heading2"/>
      </w:pPr>
      <w:r>
        <w:rPr>
          <w:color w:val="E63946"/>
          <w:sz w:val="26"/>
        </w:rPr>
        <w:t>The Composite Transition Score</w:t>
      </w:r>
    </w:p>
    <w:p>
      <w:r>
        <w:rPr>
          <w:color w:val="212529"/>
          <w:sz w:val="21"/>
        </w:rPr>
        <w:t>We defined a neighborhood transition as a sustained, directional shift in three complementary market signals measured over the forward 12-month window:</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Signal</w:t>
            </w:r>
          </w:p>
        </w:tc>
        <w:tc>
          <w:tcPr>
            <w:tcW w:type="dxa" w:w="2976"/>
            <w:shd w:val="clear" w:color="auto" w:fill="0D1B2A"/>
          </w:tcPr>
          <w:p>
            <w:r>
              <w:rPr>
                <w:b/>
                <w:color w:val="FFFFFF"/>
                <w:sz w:val="19"/>
              </w:rPr>
              <w:t>How measured</w:t>
            </w:r>
          </w:p>
        </w:tc>
        <w:tc>
          <w:tcPr>
            <w:tcW w:type="dxa" w:w="2976"/>
            <w:shd w:val="clear" w:color="auto" w:fill="0D1B2A"/>
          </w:tcPr>
          <w:p>
            <w:r>
              <w:rPr>
                <w:b/>
                <w:color w:val="FFFFFF"/>
                <w:sz w:val="19"/>
              </w:rPr>
              <w:t>Direction of transition signal</w:t>
            </w:r>
          </w:p>
        </w:tc>
      </w:tr>
      <w:tr>
        <w:tc>
          <w:tcPr>
            <w:tcW w:type="dxa" w:w="2976"/>
            <w:shd w:val="clear" w:color="auto" w:fill="F8FAFC"/>
          </w:tcPr>
          <w:p>
            <w:r>
              <w:rPr>
                <w:sz w:val="19"/>
              </w:rPr>
              <w:t>Home value growth</w:t>
            </w:r>
          </w:p>
        </w:tc>
        <w:tc>
          <w:tcPr>
            <w:tcW w:type="dxa" w:w="2976"/>
            <w:shd w:val="clear" w:color="auto" w:fill="F8FAFC"/>
          </w:tcPr>
          <w:p>
            <w:r>
              <w:rPr>
                <w:sz w:val="19"/>
              </w:rPr>
              <w:t>Forward 12-month avg YoY growth minus trailing 12-month baseline (per ZIP)</w:t>
            </w:r>
          </w:p>
        </w:tc>
        <w:tc>
          <w:tcPr>
            <w:tcW w:type="dxa" w:w="2976"/>
            <w:shd w:val="clear" w:color="auto" w:fill="F8FAFC"/>
          </w:tcPr>
          <w:p>
            <w:r>
              <w:rPr>
                <w:sz w:val="19"/>
              </w:rPr>
              <w:t>Higher than baseline = positive</w:t>
            </w:r>
          </w:p>
        </w:tc>
      </w:tr>
      <w:tr>
        <w:tc>
          <w:tcPr>
            <w:tcW w:type="dxa" w:w="2976"/>
            <w:shd w:val="clear" w:color="auto" w:fill="FFFFFF"/>
          </w:tcPr>
          <w:p>
            <w:r>
              <w:rPr>
                <w:sz w:val="19"/>
              </w:rPr>
              <w:t>Inventory tightening</w:t>
            </w:r>
          </w:p>
        </w:tc>
        <w:tc>
          <w:tcPr>
            <w:tcW w:type="dxa" w:w="2976"/>
            <w:shd w:val="clear" w:color="auto" w:fill="FFFFFF"/>
          </w:tcPr>
          <w:p>
            <w:r>
              <w:rPr>
                <w:sz w:val="19"/>
              </w:rPr>
              <w:t>Forward 12-month avg MoM inventory change, negated</w:t>
            </w:r>
          </w:p>
        </w:tc>
        <w:tc>
          <w:tcPr>
            <w:tcW w:type="dxa" w:w="2976"/>
            <w:shd w:val="clear" w:color="auto" w:fill="FFFFFF"/>
          </w:tcPr>
          <w:p>
            <w:r>
              <w:rPr>
                <w:sz w:val="19"/>
              </w:rPr>
              <w:t>Falling supply = positive (negated so tightening = +)</w:t>
            </w:r>
          </w:p>
        </w:tc>
      </w:tr>
      <w:tr>
        <w:tc>
          <w:tcPr>
            <w:tcW w:type="dxa" w:w="2976"/>
            <w:shd w:val="clear" w:color="auto" w:fill="F8FAFC"/>
          </w:tcPr>
          <w:p>
            <w:r>
              <w:rPr>
                <w:sz w:val="19"/>
              </w:rPr>
              <w:t>Market competitiveness</w:t>
            </w:r>
          </w:p>
        </w:tc>
        <w:tc>
          <w:tcPr>
            <w:tcW w:type="dxa" w:w="2976"/>
            <w:shd w:val="clear" w:color="auto" w:fill="F8FAFC"/>
          </w:tcPr>
          <w:p>
            <w:r>
              <w:rPr>
                <w:sz w:val="19"/>
              </w:rPr>
              <w:t>Forward 12-month avg % of homes sold above list price</w:t>
            </w:r>
          </w:p>
        </w:tc>
        <w:tc>
          <w:tcPr>
            <w:tcW w:type="dxa" w:w="2976"/>
            <w:shd w:val="clear" w:color="auto" w:fill="F8FAFC"/>
          </w:tcPr>
          <w:p>
            <w:r>
              <w:rPr>
                <w:sz w:val="19"/>
              </w:rPr>
              <w:t>More above-list sales = positive</w:t>
            </w:r>
          </w:p>
        </w:tc>
      </w:tr>
    </w:tbl>
    <w:p/>
    <w:p>
      <w:r>
        <w:rPr>
          <w:color w:val="212529"/>
          <w:sz w:val="21"/>
        </w:rPr>
        <w:t>Each signal is z-scored across all ZIPs within the same month (mean 0, std 1), then the three z-scores are equally weighted and averaged to produce the composite score. Z-scoring ensures that no single signal dominates due to scale differences, and that each ZIP is evaluated relative to the cross-sectional distribution of that month — not against an absolute threshold.</w:t>
      </w:r>
    </w:p>
    <w:p/>
    <w:p>
      <w:pPr>
        <w:ind w:left="432" w:right="432"/>
        <w:shd w:val="clear" w:color="auto" w:fill="0D1B2A"/>
      </w:pPr>
      <w:r>
        <w:rPr>
          <w:b/>
          <w:color w:val="FFFFFF"/>
          <w:sz w:val="20"/>
        </w:rPr>
        <w:t xml:space="preserve">  DECISION: Use z-scored composite score rather than a single price metric  </w:t>
      </w:r>
    </w:p>
    <w:p>
      <w:pPr>
        <w:ind w:left="432" w:right="432"/>
      </w:pPr>
      <w:r>
        <w:rPr>
          <w:b/>
          <w:sz w:val="20"/>
        </w:rPr>
        <w:t xml:space="preserve">Why: </w:t>
      </w:r>
      <w:r>
        <w:rPr>
          <w:sz w:val="20"/>
        </w:rPr>
        <w:t>Relying on price growth alone misses the early signals. Inventory tightening and above-list sales typically precede price appreciation by several months. By combining all three, the composite captures the full transition dynamic — and a ZIP that scores high on all three is more convincingly transitioning than one with a price spike alone.</w:t>
      </w:r>
    </w:p>
    <w:p>
      <w:pPr>
        <w:ind w:left="432" w:right="432"/>
      </w:pPr>
      <w:r>
        <w:rPr>
          <w:b/>
          <w:color w:val="E63946"/>
          <w:sz w:val="20"/>
        </w:rPr>
        <w:t xml:space="preserve">Implication: </w:t>
      </w:r>
      <w:r>
        <w:rPr>
          <w:sz w:val="20"/>
        </w:rPr>
        <w:t>The composite score is a forward-looking measure computed from the 12 months AFTER the observation date. This means the model is trained to predict what this score will look like in the future, using only past and current features as inputs.</w:t>
      </w:r>
    </w:p>
    <w:p/>
    <w:p>
      <w:pPr>
        <w:pStyle w:val="Heading2"/>
      </w:pPr>
      <w:r>
        <w:rPr>
          <w:color w:val="E63946"/>
          <w:sz w:val="26"/>
        </w:rPr>
        <w:t>From Score to Labels</w:t>
      </w:r>
    </w:p>
    <w:p>
      <w:r>
        <w:rPr>
          <w:color w:val="212529"/>
          <w:sz w:val="21"/>
        </w:rPr>
        <w:t>The composite score is continuous. We convert it to classification targets using percentile thresholds computed on the final 16,740-row modeling subset:</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2A"/>
          </w:tcPr>
          <w:p>
            <w:r>
              <w:rPr>
                <w:b/>
                <w:color w:val="FFFFFF"/>
                <w:sz w:val="19"/>
              </w:rPr>
              <w:t>Target</w:t>
            </w:r>
          </w:p>
        </w:tc>
        <w:tc>
          <w:tcPr>
            <w:tcW w:type="dxa" w:w="2232"/>
            <w:shd w:val="clear" w:color="auto" w:fill="0D1B2A"/>
          </w:tcPr>
          <w:p>
            <w:r>
              <w:rPr>
                <w:b/>
                <w:color w:val="FFFFFF"/>
                <w:sz w:val="19"/>
              </w:rPr>
              <w:t>Type</w:t>
            </w:r>
          </w:p>
        </w:tc>
        <w:tc>
          <w:tcPr>
            <w:tcW w:type="dxa" w:w="2232"/>
            <w:shd w:val="clear" w:color="auto" w:fill="0D1B2A"/>
          </w:tcPr>
          <w:p>
            <w:r>
              <w:rPr>
                <w:b/>
                <w:color w:val="FFFFFF"/>
                <w:sz w:val="19"/>
              </w:rPr>
              <w:t>Label rule</w:t>
            </w:r>
          </w:p>
        </w:tc>
        <w:tc>
          <w:tcPr>
            <w:tcW w:type="dxa" w:w="2232"/>
            <w:shd w:val="clear" w:color="auto" w:fill="0D1B2A"/>
          </w:tcPr>
          <w:p>
            <w:r>
              <w:rPr>
                <w:b/>
                <w:color w:val="FFFFFF"/>
                <w:sz w:val="19"/>
              </w:rPr>
              <w:t>Class balance</w:t>
            </w:r>
          </w:p>
        </w:tc>
      </w:tr>
      <w:tr>
        <w:tc>
          <w:tcPr>
            <w:tcW w:type="dxa" w:w="2232"/>
            <w:shd w:val="clear" w:color="auto" w:fill="F8FAFC"/>
          </w:tcPr>
          <w:p>
            <w:r>
              <w:rPr>
                <w:sz w:val="19"/>
              </w:rPr>
              <w:t>transition_next_12m</w:t>
            </w:r>
          </w:p>
        </w:tc>
        <w:tc>
          <w:tcPr>
            <w:tcW w:type="dxa" w:w="2232"/>
            <w:shd w:val="clear" w:color="auto" w:fill="F8FAFC"/>
          </w:tcPr>
          <w:p>
            <w:r>
              <w:rPr>
                <w:sz w:val="19"/>
              </w:rPr>
              <w:t>Binary</w:t>
            </w:r>
          </w:p>
        </w:tc>
        <w:tc>
          <w:tcPr>
            <w:tcW w:type="dxa" w:w="2232"/>
            <w:shd w:val="clear" w:color="auto" w:fill="F8FAFC"/>
          </w:tcPr>
          <w:p>
            <w:r>
              <w:rPr>
                <w:sz w:val="19"/>
              </w:rPr>
              <w:t>1 if composite score ≥ 75th percentile (upward transition)</w:t>
            </w:r>
          </w:p>
        </w:tc>
        <w:tc>
          <w:tcPr>
            <w:tcW w:type="dxa" w:w="2232"/>
            <w:shd w:val="clear" w:color="auto" w:fill="F8FAFC"/>
          </w:tcPr>
          <w:p>
            <w:r>
              <w:rPr>
                <w:sz w:val="19"/>
              </w:rPr>
              <w:t>25% positive / 75% negative</w:t>
            </w:r>
          </w:p>
        </w:tc>
      </w:tr>
      <w:tr>
        <w:tc>
          <w:tcPr>
            <w:tcW w:type="dxa" w:w="2232"/>
            <w:shd w:val="clear" w:color="auto" w:fill="FFFFFF"/>
          </w:tcPr>
          <w:p>
            <w:r>
              <w:rPr>
                <w:sz w:val="19"/>
              </w:rPr>
              <w:t>transition_direction</w:t>
            </w:r>
          </w:p>
        </w:tc>
        <w:tc>
          <w:tcPr>
            <w:tcW w:type="dxa" w:w="2232"/>
            <w:shd w:val="clear" w:color="auto" w:fill="FFFFFF"/>
          </w:tcPr>
          <w:p>
            <w:r>
              <w:rPr>
                <w:sz w:val="19"/>
              </w:rPr>
              <w:t>3-class</w:t>
            </w:r>
          </w:p>
        </w:tc>
        <w:tc>
          <w:tcPr>
            <w:tcW w:type="dxa" w:w="2232"/>
            <w:shd w:val="clear" w:color="auto" w:fill="FFFFFF"/>
          </w:tcPr>
          <w:p>
            <w:r>
              <w:rPr>
                <w:sz w:val="19"/>
              </w:rPr>
              <w:t>+1 if ≥ p75 (up) / 0 if p25–p75 (stable) / −1 if &lt; p25 (down)</w:t>
            </w:r>
          </w:p>
        </w:tc>
        <w:tc>
          <w:tcPr>
            <w:tcW w:type="dxa" w:w="2232"/>
            <w:shd w:val="clear" w:color="auto" w:fill="FFFFFF"/>
          </w:tcPr>
          <w:p>
            <w:r>
              <w:rPr>
                <w:sz w:val="19"/>
              </w:rPr>
              <w:t>25% up / 50% stable / 25% down</w:t>
            </w:r>
          </w:p>
        </w:tc>
      </w:tr>
    </w:tbl>
    <w:p/>
    <w:p/>
    <w:p>
      <w:pPr>
        <w:ind w:left="432" w:right="432"/>
        <w:shd w:val="clear" w:color="auto" w:fill="0D1B2A"/>
      </w:pPr>
      <w:r>
        <w:rPr>
          <w:b/>
          <w:color w:val="FFFFFF"/>
          <w:sz w:val="20"/>
        </w:rPr>
        <w:t xml:space="preserve">  DECISION: Use percentile thresholds rather than absolute values  </w:t>
      </w:r>
    </w:p>
    <w:p>
      <w:pPr>
        <w:ind w:left="432" w:right="432"/>
      </w:pPr>
      <w:r>
        <w:rPr>
          <w:b/>
          <w:sz w:val="20"/>
        </w:rPr>
        <w:t xml:space="preserve">Why: </w:t>
      </w:r>
      <w:r>
        <w:rPr>
          <w:sz w:val="20"/>
        </w:rPr>
        <w:t>Percentile thresholds automatically adjust for market-wide trends. If the entire housing market surged (as in 2020–2021), using an absolute threshold would label nearly everything as 'transitioning'. Percentiles ensure the labels always reflect relative outperformers — which is what an investor actually cares about.</w:t>
      </w:r>
    </w:p>
    <w:p>
      <w:pPr>
        <w:ind w:left="432" w:right="432"/>
      </w:pPr>
      <w:r>
        <w:rPr>
          <w:b/>
          <w:color w:val="E63946"/>
          <w:sz w:val="20"/>
        </w:rPr>
        <w:t xml:space="preserve">Implication: </w:t>
      </w:r>
      <w:r>
        <w:rPr>
          <w:sz w:val="20"/>
        </w:rPr>
        <w:t>The 25/50/25 class split gives a clean and interpretable distribution. The binary target (transition_next_12m) is the primary prediction target. The 3-class target adds directionality — it can identify ZIPs likely to decline, which the binary model cannot distinguish from stable ZIPs.</w:t>
      </w:r>
    </w:p>
    <w:p/>
    <w:p>
      <w:r>
        <w:br w:type="page"/>
      </w:r>
    </w:p>
    <w:p>
      <w:pPr>
        <w:pStyle w:val="Heading1"/>
      </w:pPr>
      <w:r>
        <w:rPr>
          <w:color w:val="0D1B2A"/>
          <w:sz w:val="36"/>
        </w:rPr>
        <w:t>6. Feature Engineering</w:t>
      </w:r>
    </w:p>
    <w:p>
      <w:r>
        <w:rPr>
          <w:color w:val="212529"/>
          <w:sz w:val="21"/>
        </w:rPr>
        <w:t>Raw Zillow and Redfin data provides level measurements each month (e.g. home value index, inventory count). To give the model signal about momentum, acceleration, and divergence from historical norms, we engineered several families of derived features.</w:t>
      </w:r>
    </w:p>
    <w:p>
      <w:pPr>
        <w:pStyle w:val="Heading2"/>
      </w:pPr>
      <w:r>
        <w:rPr>
          <w:color w:val="E63946"/>
          <w:sz w:val="26"/>
        </w:rPr>
        <w:t>Feature Families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Family</w:t>
            </w:r>
          </w:p>
        </w:tc>
        <w:tc>
          <w:tcPr>
            <w:tcW w:type="dxa" w:w="2976"/>
            <w:shd w:val="clear" w:color="auto" w:fill="0D1B2A"/>
          </w:tcPr>
          <w:p>
            <w:r>
              <w:rPr>
                <w:b/>
                <w:color w:val="FFFFFF"/>
                <w:sz w:val="19"/>
              </w:rPr>
              <w:t>Examples</w:t>
            </w:r>
          </w:p>
        </w:tc>
        <w:tc>
          <w:tcPr>
            <w:tcW w:type="dxa" w:w="2976"/>
            <w:shd w:val="clear" w:color="auto" w:fill="0D1B2A"/>
          </w:tcPr>
          <w:p>
            <w:r>
              <w:rPr>
                <w:b/>
                <w:color w:val="FFFFFF"/>
                <w:sz w:val="19"/>
              </w:rPr>
              <w:t>What it captures</w:t>
            </w:r>
          </w:p>
        </w:tc>
      </w:tr>
      <w:tr>
        <w:tc>
          <w:tcPr>
            <w:tcW w:type="dxa" w:w="2976"/>
            <w:shd w:val="clear" w:color="auto" w:fill="F8FAFC"/>
          </w:tcPr>
          <w:p>
            <w:r>
              <w:rPr>
                <w:sz w:val="19"/>
              </w:rPr>
              <w:t>Month-over-month change</w:t>
            </w:r>
          </w:p>
        </w:tc>
        <w:tc>
          <w:tcPr>
            <w:tcW w:type="dxa" w:w="2976"/>
            <w:shd w:val="clear" w:color="auto" w:fill="F8FAFC"/>
          </w:tcPr>
          <w:p>
            <w:r>
              <w:rPr>
                <w:sz w:val="19"/>
              </w:rPr>
              <w:t>home_value_mom_pct, inventory_mom_pct</w:t>
            </w:r>
          </w:p>
        </w:tc>
        <w:tc>
          <w:tcPr>
            <w:tcW w:type="dxa" w:w="2976"/>
            <w:shd w:val="clear" w:color="auto" w:fill="F8FAFC"/>
          </w:tcPr>
          <w:p>
            <w:r>
              <w:rPr>
                <w:sz w:val="19"/>
              </w:rPr>
              <w:t>Current momentum — is the market moving and in which direction?</w:t>
            </w:r>
          </w:p>
        </w:tc>
      </w:tr>
      <w:tr>
        <w:tc>
          <w:tcPr>
            <w:tcW w:type="dxa" w:w="2976"/>
            <w:shd w:val="clear" w:color="auto" w:fill="FFFFFF"/>
          </w:tcPr>
          <w:p>
            <w:r>
              <w:rPr>
                <w:sz w:val="19"/>
              </w:rPr>
              <w:t>Rolling averages</w:t>
            </w:r>
          </w:p>
        </w:tc>
        <w:tc>
          <w:tcPr>
            <w:tcW w:type="dxa" w:w="2976"/>
            <w:shd w:val="clear" w:color="auto" w:fill="FFFFFF"/>
          </w:tcPr>
          <w:p>
            <w:r>
              <w:rPr>
                <w:sz w:val="19"/>
              </w:rPr>
              <w:t>home_value_mom_3m_avg, home_value_mom_12m_avg, inventory_mom_12m_avg</w:t>
            </w:r>
          </w:p>
        </w:tc>
        <w:tc>
          <w:tcPr>
            <w:tcW w:type="dxa" w:w="2976"/>
            <w:shd w:val="clear" w:color="auto" w:fill="FFFFFF"/>
          </w:tcPr>
          <w:p>
            <w:r>
              <w:rPr>
                <w:sz w:val="19"/>
              </w:rPr>
              <w:t>Smoothed trend — removes noise from a single month's reading</w:t>
            </w:r>
          </w:p>
        </w:tc>
      </w:tr>
      <w:tr>
        <w:tc>
          <w:tcPr>
            <w:tcW w:type="dxa" w:w="2976"/>
            <w:shd w:val="clear" w:color="auto" w:fill="F8FAFC"/>
          </w:tcPr>
          <w:p>
            <w:r>
              <w:rPr>
                <w:sz w:val="19"/>
              </w:rPr>
              <w:t>Acceleration</w:t>
            </w:r>
          </w:p>
        </w:tc>
        <w:tc>
          <w:tcPr>
            <w:tcW w:type="dxa" w:w="2976"/>
            <w:shd w:val="clear" w:color="auto" w:fill="F8FAFC"/>
          </w:tcPr>
          <w:p>
            <w:r>
              <w:rPr>
                <w:sz w:val="19"/>
              </w:rPr>
              <w:t>home_value_accel</w:t>
            </w:r>
          </w:p>
        </w:tc>
        <w:tc>
          <w:tcPr>
            <w:tcW w:type="dxa" w:w="2976"/>
            <w:shd w:val="clear" w:color="auto" w:fill="F8FAFC"/>
          </w:tcPr>
          <w:p>
            <w:r>
              <w:rPr>
                <w:sz w:val="19"/>
              </w:rPr>
              <w:t>Rate of change of the rate of change — is momentum itself speeding up or slowing down?</w:t>
            </w:r>
          </w:p>
        </w:tc>
      </w:tr>
      <w:tr>
        <w:tc>
          <w:tcPr>
            <w:tcW w:type="dxa" w:w="2976"/>
            <w:shd w:val="clear" w:color="auto" w:fill="FFFFFF"/>
          </w:tcPr>
          <w:p>
            <w:r>
              <w:rPr>
                <w:sz w:val="19"/>
              </w:rPr>
              <w:t>Year-over-year change</w:t>
            </w:r>
          </w:p>
        </w:tc>
        <w:tc>
          <w:tcPr>
            <w:tcW w:type="dxa" w:w="2976"/>
            <w:shd w:val="clear" w:color="auto" w:fill="FFFFFF"/>
          </w:tcPr>
          <w:p>
            <w:r>
              <w:rPr>
                <w:sz w:val="19"/>
              </w:rPr>
              <w:t>home_value_yoy_pct, inventory_yoy_pct</w:t>
            </w:r>
          </w:p>
        </w:tc>
        <w:tc>
          <w:tcPr>
            <w:tcW w:type="dxa" w:w="2976"/>
            <w:shd w:val="clear" w:color="auto" w:fill="FFFFFF"/>
          </w:tcPr>
          <w:p>
            <w:r>
              <w:rPr>
                <w:sz w:val="19"/>
              </w:rPr>
              <w:t>Medium-term direction vs. same month last year</w:t>
            </w:r>
          </w:p>
        </w:tc>
      </w:tr>
      <w:tr>
        <w:tc>
          <w:tcPr>
            <w:tcW w:type="dxa" w:w="2976"/>
            <w:shd w:val="clear" w:color="auto" w:fill="F8FAFC"/>
          </w:tcPr>
          <w:p>
            <w:r>
              <w:rPr>
                <w:sz w:val="19"/>
              </w:rPr>
              <w:t>Baseline deviation</w:t>
            </w:r>
          </w:p>
        </w:tc>
        <w:tc>
          <w:tcPr>
            <w:tcW w:type="dxa" w:w="2976"/>
            <w:shd w:val="clear" w:color="auto" w:fill="F8FAFC"/>
          </w:tcPr>
          <w:p>
            <w:r>
              <w:rPr>
                <w:sz w:val="19"/>
              </w:rPr>
              <w:t>home_value_vs_baseline, dom_vs_baseline</w:t>
            </w:r>
          </w:p>
        </w:tc>
        <w:tc>
          <w:tcPr>
            <w:tcW w:type="dxa" w:w="2976"/>
            <w:shd w:val="clear" w:color="auto" w:fill="F8FAFC"/>
          </w:tcPr>
          <w:p>
            <w:r>
              <w:rPr>
                <w:sz w:val="19"/>
              </w:rPr>
              <w:t>Is this ZIP behaving unusually vs. its own historical norm?</w:t>
            </w:r>
          </w:p>
        </w:tc>
      </w:tr>
      <w:tr>
        <w:tc>
          <w:tcPr>
            <w:tcW w:type="dxa" w:w="2976"/>
            <w:shd w:val="clear" w:color="auto" w:fill="FFFFFF"/>
          </w:tcPr>
          <w:p>
            <w:r>
              <w:rPr>
                <w:sz w:val="19"/>
              </w:rPr>
              <w:t>Lagged features</w:t>
            </w:r>
          </w:p>
        </w:tc>
        <w:tc>
          <w:tcPr>
            <w:tcW w:type="dxa" w:w="2976"/>
            <w:shd w:val="clear" w:color="auto" w:fill="FFFFFF"/>
          </w:tcPr>
          <w:p>
            <w:r>
              <w:rPr>
                <w:sz w:val="19"/>
              </w:rPr>
              <w:t>home_value_mom_pct_lag6, pct_sold_above_list_lag6, home_value_vs_baseline_lag6, avg_sale_to_list_ratio_lag6</w:t>
            </w:r>
          </w:p>
        </w:tc>
        <w:tc>
          <w:tcPr>
            <w:tcW w:type="dxa" w:w="2976"/>
            <w:shd w:val="clear" w:color="auto" w:fill="FFFFFF"/>
          </w:tcPr>
          <w:p>
            <w:r>
              <w:rPr>
                <w:sz w:val="19"/>
              </w:rPr>
              <w:t>Recent history — what was the market doing 6 months ago?</w:t>
            </w:r>
          </w:p>
        </w:tc>
      </w:tr>
      <w:tr>
        <w:tc>
          <w:tcPr>
            <w:tcW w:type="dxa" w:w="2976"/>
            <w:shd w:val="clear" w:color="auto" w:fill="F8FAFC"/>
          </w:tcPr>
          <w:p>
            <w:r>
              <w:rPr>
                <w:sz w:val="19"/>
              </w:rPr>
              <w:t>Level features</w:t>
            </w:r>
          </w:p>
        </w:tc>
        <w:tc>
          <w:tcPr>
            <w:tcW w:type="dxa" w:w="2976"/>
            <w:shd w:val="clear" w:color="auto" w:fill="F8FAFC"/>
          </w:tcPr>
          <w:p>
            <w:r>
              <w:rPr>
                <w:sz w:val="19"/>
              </w:rPr>
              <w:t>home_value_index, homes_sold, inventory, new_listings, median_days_on_market, pct_off_market_in_2wks</w:t>
            </w:r>
          </w:p>
        </w:tc>
        <w:tc>
          <w:tcPr>
            <w:tcW w:type="dxa" w:w="2976"/>
            <w:shd w:val="clear" w:color="auto" w:fill="F8FAFC"/>
          </w:tcPr>
          <w:p>
            <w:r>
              <w:rPr>
                <w:sz w:val="19"/>
              </w:rPr>
              <w:t>Absolute market conditions at this point in time</w:t>
            </w:r>
          </w:p>
        </w:tc>
      </w:tr>
    </w:tbl>
    <w:p/>
    <w:p>
      <w:pPr>
        <w:pStyle w:val="Heading2"/>
      </w:pPr>
      <w:r>
        <w:rPr>
          <w:color w:val="E63946"/>
          <w:sz w:val="26"/>
        </w:rPr>
        <w:t>Why Lags Matter</w:t>
      </w:r>
    </w:p>
    <w:p>
      <w:r>
        <w:rPr>
          <w:color w:val="212529"/>
          <w:sz w:val="21"/>
        </w:rPr>
        <w:t>The 6-month lag features deserve special explanation. The model is predicting what will happen over the NEXT 12 months. Features computed from current data are the most recent signal, but 6-month lagged features capture whether the market was already building momentum before today. A ZIP where pct_sold_above_list was high 6 months ago AND is still high today has sustained demand pressure — a stronger signal than a recent spike.</w:t>
      </w:r>
    </w:p>
    <w:p>
      <w:r>
        <w:rPr>
          <w:color w:val="212529"/>
          <w:sz w:val="21"/>
        </w:rPr>
        <w:t>SHAP analysis confirms this intuition: home_value_vs_baseline_lag6 is the second most important feature in the model (mean |SHAP| = 0.73), behind only home_value_mom_pct (mean |SHAP| = 1.14).</w:t>
      </w:r>
    </w:p>
    <w:p>
      <w:pPr>
        <w:pStyle w:val="Heading2"/>
      </w:pPr>
      <w:r>
        <w:rPr>
          <w:color w:val="E63946"/>
          <w:sz w:val="26"/>
        </w:rPr>
        <w:t>The 18 Final RFECV-Selected Features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Feature</w:t>
            </w:r>
          </w:p>
        </w:tc>
        <w:tc>
          <w:tcPr>
            <w:tcW w:type="dxa" w:w="2976"/>
            <w:shd w:val="clear" w:color="auto" w:fill="0D1B2A"/>
          </w:tcPr>
          <w:p>
            <w:r>
              <w:rPr>
                <w:b/>
                <w:color w:val="FFFFFF"/>
                <w:sz w:val="19"/>
              </w:rPr>
              <w:t>Category</w:t>
            </w:r>
          </w:p>
        </w:tc>
        <w:tc>
          <w:tcPr>
            <w:tcW w:type="dxa" w:w="2976"/>
            <w:shd w:val="clear" w:color="auto" w:fill="0D1B2A"/>
          </w:tcPr>
          <w:p>
            <w:r>
              <w:rPr>
                <w:b/>
                <w:color w:val="FFFFFF"/>
                <w:sz w:val="19"/>
              </w:rPr>
              <w:t>SHAP rank (approx)</w:t>
            </w:r>
          </w:p>
        </w:tc>
      </w:tr>
      <w:tr>
        <w:tc>
          <w:tcPr>
            <w:tcW w:type="dxa" w:w="2976"/>
            <w:shd w:val="clear" w:color="auto" w:fill="F8FAFC"/>
          </w:tcPr>
          <w:p>
            <w:r>
              <w:rPr>
                <w:sz w:val="19"/>
              </w:rPr>
              <w:t>home_value_mom_pct</w:t>
            </w:r>
          </w:p>
        </w:tc>
        <w:tc>
          <w:tcPr>
            <w:tcW w:type="dxa" w:w="2976"/>
            <w:shd w:val="clear" w:color="auto" w:fill="F8FAFC"/>
          </w:tcPr>
          <w:p>
            <w:r>
              <w:rPr>
                <w:sz w:val="19"/>
              </w:rPr>
              <w:t>MoM momentum</w:t>
            </w:r>
          </w:p>
        </w:tc>
        <w:tc>
          <w:tcPr>
            <w:tcW w:type="dxa" w:w="2976"/>
            <w:shd w:val="clear" w:color="auto" w:fill="F8FAFC"/>
          </w:tcPr>
          <w:p>
            <w:r>
              <w:rPr>
                <w:sz w:val="19"/>
              </w:rPr>
              <w:t>#1</w:t>
            </w:r>
          </w:p>
        </w:tc>
      </w:tr>
      <w:tr>
        <w:tc>
          <w:tcPr>
            <w:tcW w:type="dxa" w:w="2976"/>
            <w:shd w:val="clear" w:color="auto" w:fill="FFFFFF"/>
          </w:tcPr>
          <w:p>
            <w:r>
              <w:rPr>
                <w:sz w:val="19"/>
              </w:rPr>
              <w:t>home_value_vs_baseline_lag6</w:t>
            </w:r>
          </w:p>
        </w:tc>
        <w:tc>
          <w:tcPr>
            <w:tcW w:type="dxa" w:w="2976"/>
            <w:shd w:val="clear" w:color="auto" w:fill="FFFFFF"/>
          </w:tcPr>
          <w:p>
            <w:r>
              <w:rPr>
                <w:sz w:val="19"/>
              </w:rPr>
              <w:t>Lagged baseline</w:t>
            </w:r>
          </w:p>
        </w:tc>
        <w:tc>
          <w:tcPr>
            <w:tcW w:type="dxa" w:w="2976"/>
            <w:shd w:val="clear" w:color="auto" w:fill="FFFFFF"/>
          </w:tcPr>
          <w:p>
            <w:r>
              <w:rPr>
                <w:sz w:val="19"/>
              </w:rPr>
              <w:t>#2</w:t>
            </w:r>
          </w:p>
        </w:tc>
      </w:tr>
      <w:tr>
        <w:tc>
          <w:tcPr>
            <w:tcW w:type="dxa" w:w="2976"/>
            <w:shd w:val="clear" w:color="auto" w:fill="F8FAFC"/>
          </w:tcPr>
          <w:p>
            <w:r>
              <w:rPr>
                <w:sz w:val="19"/>
              </w:rPr>
              <w:t>home_value_accel</w:t>
            </w:r>
          </w:p>
        </w:tc>
        <w:tc>
          <w:tcPr>
            <w:tcW w:type="dxa" w:w="2976"/>
            <w:shd w:val="clear" w:color="auto" w:fill="F8FAFC"/>
          </w:tcPr>
          <w:p>
            <w:r>
              <w:rPr>
                <w:sz w:val="19"/>
              </w:rPr>
              <w:t>Acceleration</w:t>
            </w:r>
          </w:p>
        </w:tc>
        <w:tc>
          <w:tcPr>
            <w:tcW w:type="dxa" w:w="2976"/>
            <w:shd w:val="clear" w:color="auto" w:fill="F8FAFC"/>
          </w:tcPr>
          <w:p>
            <w:r>
              <w:rPr>
                <w:sz w:val="19"/>
              </w:rPr>
              <w:t>#3</w:t>
            </w:r>
          </w:p>
        </w:tc>
      </w:tr>
      <w:tr>
        <w:tc>
          <w:tcPr>
            <w:tcW w:type="dxa" w:w="2976"/>
            <w:shd w:val="clear" w:color="auto" w:fill="FFFFFF"/>
          </w:tcPr>
          <w:p>
            <w:r>
              <w:rPr>
                <w:sz w:val="19"/>
              </w:rPr>
              <w:t>inventory_mom_12m_avg</w:t>
            </w:r>
          </w:p>
        </w:tc>
        <w:tc>
          <w:tcPr>
            <w:tcW w:type="dxa" w:w="2976"/>
            <w:shd w:val="clear" w:color="auto" w:fill="FFFFFF"/>
          </w:tcPr>
          <w:p>
            <w:r>
              <w:rPr>
                <w:sz w:val="19"/>
              </w:rPr>
              <w:t>Supply trend</w:t>
            </w:r>
          </w:p>
        </w:tc>
        <w:tc>
          <w:tcPr>
            <w:tcW w:type="dxa" w:w="2976"/>
            <w:shd w:val="clear" w:color="auto" w:fill="FFFFFF"/>
          </w:tcPr>
          <w:p>
            <w:r>
              <w:rPr>
                <w:sz w:val="19"/>
              </w:rPr>
              <w:t>#4</w:t>
            </w:r>
          </w:p>
        </w:tc>
      </w:tr>
      <w:tr>
        <w:tc>
          <w:tcPr>
            <w:tcW w:type="dxa" w:w="2976"/>
            <w:shd w:val="clear" w:color="auto" w:fill="F8FAFC"/>
          </w:tcPr>
          <w:p>
            <w:r>
              <w:rPr>
                <w:sz w:val="19"/>
              </w:rPr>
              <w:t>pct_sold_above_list_lag6</w:t>
            </w:r>
          </w:p>
        </w:tc>
        <w:tc>
          <w:tcPr>
            <w:tcW w:type="dxa" w:w="2976"/>
            <w:shd w:val="clear" w:color="auto" w:fill="F8FAFC"/>
          </w:tcPr>
          <w:p>
            <w:r>
              <w:rPr>
                <w:sz w:val="19"/>
              </w:rPr>
              <w:t>Lagged demand</w:t>
            </w:r>
          </w:p>
        </w:tc>
        <w:tc>
          <w:tcPr>
            <w:tcW w:type="dxa" w:w="2976"/>
            <w:shd w:val="clear" w:color="auto" w:fill="F8FAFC"/>
          </w:tcPr>
          <w:p>
            <w:r>
              <w:rPr>
                <w:sz w:val="19"/>
              </w:rPr>
              <w:t>#5</w:t>
            </w:r>
          </w:p>
        </w:tc>
      </w:tr>
      <w:tr>
        <w:tc>
          <w:tcPr>
            <w:tcW w:type="dxa" w:w="2976"/>
            <w:shd w:val="clear" w:color="auto" w:fill="FFFFFF"/>
          </w:tcPr>
          <w:p>
            <w:r>
              <w:rPr>
                <w:sz w:val="19"/>
              </w:rPr>
              <w:t>avg_sale_to_list_ratio_lag6</w:t>
            </w:r>
          </w:p>
        </w:tc>
        <w:tc>
          <w:tcPr>
            <w:tcW w:type="dxa" w:w="2976"/>
            <w:shd w:val="clear" w:color="auto" w:fill="FFFFFF"/>
          </w:tcPr>
          <w:p>
            <w:r>
              <w:rPr>
                <w:sz w:val="19"/>
              </w:rPr>
              <w:t>Lagged demand</w:t>
            </w:r>
          </w:p>
        </w:tc>
        <w:tc>
          <w:tcPr>
            <w:tcW w:type="dxa" w:w="2976"/>
            <w:shd w:val="clear" w:color="auto" w:fill="FFFFFF"/>
          </w:tcPr>
          <w:p>
            <w:r>
              <w:rPr>
                <w:sz w:val="19"/>
              </w:rPr>
              <w:t>#6</w:t>
            </w:r>
          </w:p>
        </w:tc>
      </w:tr>
      <w:tr>
        <w:tc>
          <w:tcPr>
            <w:tcW w:type="dxa" w:w="2976"/>
            <w:shd w:val="clear" w:color="auto" w:fill="F8FAFC"/>
          </w:tcPr>
          <w:p>
            <w:r>
              <w:rPr>
                <w:sz w:val="19"/>
              </w:rPr>
              <w:t>home_value_vs_baseline</w:t>
            </w:r>
          </w:p>
        </w:tc>
        <w:tc>
          <w:tcPr>
            <w:tcW w:type="dxa" w:w="2976"/>
            <w:shd w:val="clear" w:color="auto" w:fill="F8FAFC"/>
          </w:tcPr>
          <w:p>
            <w:r>
              <w:rPr>
                <w:sz w:val="19"/>
              </w:rPr>
              <w:t>Baseline dev.</w:t>
            </w:r>
          </w:p>
        </w:tc>
        <w:tc>
          <w:tcPr>
            <w:tcW w:type="dxa" w:w="2976"/>
            <w:shd w:val="clear" w:color="auto" w:fill="F8FAFC"/>
          </w:tcPr>
          <w:p>
            <w:r>
              <w:rPr>
                <w:sz w:val="19"/>
              </w:rPr>
              <w:t>#7</w:t>
            </w:r>
          </w:p>
        </w:tc>
      </w:tr>
      <w:tr>
        <w:tc>
          <w:tcPr>
            <w:tcW w:type="dxa" w:w="2976"/>
            <w:shd w:val="clear" w:color="auto" w:fill="FFFFFF"/>
          </w:tcPr>
          <w:p>
            <w:r>
              <w:rPr>
                <w:sz w:val="19"/>
              </w:rPr>
              <w:t>home_value_mom_3m_avg</w:t>
            </w:r>
          </w:p>
        </w:tc>
        <w:tc>
          <w:tcPr>
            <w:tcW w:type="dxa" w:w="2976"/>
            <w:shd w:val="clear" w:color="auto" w:fill="FFFFFF"/>
          </w:tcPr>
          <w:p>
            <w:r>
              <w:rPr>
                <w:sz w:val="19"/>
              </w:rPr>
              <w:t>Smoothed MoM</w:t>
            </w:r>
          </w:p>
        </w:tc>
        <w:tc>
          <w:tcPr>
            <w:tcW w:type="dxa" w:w="2976"/>
            <w:shd w:val="clear" w:color="auto" w:fill="FFFFFF"/>
          </w:tcPr>
          <w:p>
            <w:r>
              <w:rPr>
                <w:sz w:val="19"/>
              </w:rPr>
              <w:t>#8</w:t>
            </w:r>
          </w:p>
        </w:tc>
      </w:tr>
      <w:tr>
        <w:tc>
          <w:tcPr>
            <w:tcW w:type="dxa" w:w="2976"/>
            <w:shd w:val="clear" w:color="auto" w:fill="F8FAFC"/>
          </w:tcPr>
          <w:p>
            <w:r>
              <w:rPr>
                <w:sz w:val="19"/>
              </w:rPr>
              <w:t>home_value_mom_12m_avg</w:t>
            </w:r>
          </w:p>
        </w:tc>
        <w:tc>
          <w:tcPr>
            <w:tcW w:type="dxa" w:w="2976"/>
            <w:shd w:val="clear" w:color="auto" w:fill="F8FAFC"/>
          </w:tcPr>
          <w:p>
            <w:r>
              <w:rPr>
                <w:sz w:val="19"/>
              </w:rPr>
              <w:t>Long-run MoM</w:t>
            </w:r>
          </w:p>
        </w:tc>
        <w:tc>
          <w:tcPr>
            <w:tcW w:type="dxa" w:w="2976"/>
            <w:shd w:val="clear" w:color="auto" w:fill="F8FAFC"/>
          </w:tcPr>
          <w:p>
            <w:r>
              <w:rPr>
                <w:sz w:val="19"/>
              </w:rPr>
              <w:t>#9</w:t>
            </w:r>
          </w:p>
        </w:tc>
      </w:tr>
      <w:tr>
        <w:tc>
          <w:tcPr>
            <w:tcW w:type="dxa" w:w="2976"/>
            <w:shd w:val="clear" w:color="auto" w:fill="FFFFFF"/>
          </w:tcPr>
          <w:p>
            <w:r>
              <w:rPr>
                <w:sz w:val="19"/>
              </w:rPr>
              <w:t>home_value_mom_pct_lag6</w:t>
            </w:r>
          </w:p>
        </w:tc>
        <w:tc>
          <w:tcPr>
            <w:tcW w:type="dxa" w:w="2976"/>
            <w:shd w:val="clear" w:color="auto" w:fill="FFFFFF"/>
          </w:tcPr>
          <w:p>
            <w:r>
              <w:rPr>
                <w:sz w:val="19"/>
              </w:rPr>
              <w:t>Lagged MoM</w:t>
            </w:r>
          </w:p>
        </w:tc>
        <w:tc>
          <w:tcPr>
            <w:tcW w:type="dxa" w:w="2976"/>
            <w:shd w:val="clear" w:color="auto" w:fill="FFFFFF"/>
          </w:tcPr>
          <w:p>
            <w:r>
              <w:rPr>
                <w:sz w:val="19"/>
              </w:rPr>
              <w:t>#10</w:t>
            </w:r>
          </w:p>
        </w:tc>
      </w:tr>
      <w:tr>
        <w:tc>
          <w:tcPr>
            <w:tcW w:type="dxa" w:w="2976"/>
            <w:shd w:val="clear" w:color="auto" w:fill="F8FAFC"/>
          </w:tcPr>
          <w:p>
            <w:r>
              <w:rPr>
                <w:sz w:val="19"/>
              </w:rPr>
              <w:t>home_value_yoy_pct</w:t>
            </w:r>
          </w:p>
        </w:tc>
        <w:tc>
          <w:tcPr>
            <w:tcW w:type="dxa" w:w="2976"/>
            <w:shd w:val="clear" w:color="auto" w:fill="F8FAFC"/>
          </w:tcPr>
          <w:p>
            <w:r>
              <w:rPr>
                <w:sz w:val="19"/>
              </w:rPr>
              <w:t>YoY growth</w:t>
            </w:r>
          </w:p>
        </w:tc>
        <w:tc>
          <w:tcPr>
            <w:tcW w:type="dxa" w:w="2976"/>
            <w:shd w:val="clear" w:color="auto" w:fill="F8FAFC"/>
          </w:tcPr>
          <w:p>
            <w:r>
              <w:rPr>
                <w:sz w:val="19"/>
              </w:rPr>
              <w:t>#11</w:t>
            </w:r>
          </w:p>
        </w:tc>
      </w:tr>
      <w:tr>
        <w:tc>
          <w:tcPr>
            <w:tcW w:type="dxa" w:w="2976"/>
            <w:shd w:val="clear" w:color="auto" w:fill="FFFFFF"/>
          </w:tcPr>
          <w:p>
            <w:r>
              <w:rPr>
                <w:sz w:val="19"/>
              </w:rPr>
              <w:t>inventory_yoy_pct</w:t>
            </w:r>
          </w:p>
        </w:tc>
        <w:tc>
          <w:tcPr>
            <w:tcW w:type="dxa" w:w="2976"/>
            <w:shd w:val="clear" w:color="auto" w:fill="FFFFFF"/>
          </w:tcPr>
          <w:p>
            <w:r>
              <w:rPr>
                <w:sz w:val="19"/>
              </w:rPr>
              <w:t>Supply YoY</w:t>
            </w:r>
          </w:p>
        </w:tc>
        <w:tc>
          <w:tcPr>
            <w:tcW w:type="dxa" w:w="2976"/>
            <w:shd w:val="clear" w:color="auto" w:fill="FFFFFF"/>
          </w:tcPr>
          <w:p>
            <w:r>
              <w:rPr>
                <w:sz w:val="19"/>
              </w:rPr>
              <w:t>#12</w:t>
            </w:r>
          </w:p>
        </w:tc>
      </w:tr>
      <w:tr>
        <w:tc>
          <w:tcPr>
            <w:tcW w:type="dxa" w:w="2976"/>
            <w:shd w:val="clear" w:color="auto" w:fill="F8FAFC"/>
          </w:tcPr>
          <w:p>
            <w:r>
              <w:rPr>
                <w:sz w:val="19"/>
              </w:rPr>
              <w:t>dom_vs_baseline</w:t>
            </w:r>
          </w:p>
        </w:tc>
        <w:tc>
          <w:tcPr>
            <w:tcW w:type="dxa" w:w="2976"/>
            <w:shd w:val="clear" w:color="auto" w:fill="F8FAFC"/>
          </w:tcPr>
          <w:p>
            <w:r>
              <w:rPr>
                <w:sz w:val="19"/>
              </w:rPr>
              <w:t>DOM deviation</w:t>
            </w:r>
          </w:p>
        </w:tc>
        <w:tc>
          <w:tcPr>
            <w:tcW w:type="dxa" w:w="2976"/>
            <w:shd w:val="clear" w:color="auto" w:fill="F8FAFC"/>
          </w:tcPr>
          <w:p>
            <w:r>
              <w:rPr>
                <w:sz w:val="19"/>
              </w:rPr>
              <w:t>#13</w:t>
            </w:r>
          </w:p>
        </w:tc>
      </w:tr>
      <w:tr>
        <w:tc>
          <w:tcPr>
            <w:tcW w:type="dxa" w:w="2976"/>
            <w:shd w:val="clear" w:color="auto" w:fill="FFFFFF"/>
          </w:tcPr>
          <w:p>
            <w:r>
              <w:rPr>
                <w:sz w:val="19"/>
              </w:rPr>
              <w:t>homes_sold</w:t>
            </w:r>
          </w:p>
        </w:tc>
        <w:tc>
          <w:tcPr>
            <w:tcW w:type="dxa" w:w="2976"/>
            <w:shd w:val="clear" w:color="auto" w:fill="FFFFFF"/>
          </w:tcPr>
          <w:p>
            <w:r>
              <w:rPr>
                <w:sz w:val="19"/>
              </w:rPr>
              <w:t>Activity level</w:t>
            </w:r>
          </w:p>
        </w:tc>
        <w:tc>
          <w:tcPr>
            <w:tcW w:type="dxa" w:w="2976"/>
            <w:shd w:val="clear" w:color="auto" w:fill="FFFFFF"/>
          </w:tcPr>
          <w:p>
            <w:r>
              <w:rPr>
                <w:sz w:val="19"/>
              </w:rPr>
              <w:t>#14</w:t>
            </w:r>
          </w:p>
        </w:tc>
      </w:tr>
      <w:tr>
        <w:tc>
          <w:tcPr>
            <w:tcW w:type="dxa" w:w="2976"/>
            <w:shd w:val="clear" w:color="auto" w:fill="F8FAFC"/>
          </w:tcPr>
          <w:p>
            <w:r>
              <w:rPr>
                <w:sz w:val="19"/>
              </w:rPr>
              <w:t>new_listings</w:t>
            </w:r>
          </w:p>
        </w:tc>
        <w:tc>
          <w:tcPr>
            <w:tcW w:type="dxa" w:w="2976"/>
            <w:shd w:val="clear" w:color="auto" w:fill="F8FAFC"/>
          </w:tcPr>
          <w:p>
            <w:r>
              <w:rPr>
                <w:sz w:val="19"/>
              </w:rPr>
              <w:t>Supply flow</w:t>
            </w:r>
          </w:p>
        </w:tc>
        <w:tc>
          <w:tcPr>
            <w:tcW w:type="dxa" w:w="2976"/>
            <w:shd w:val="clear" w:color="auto" w:fill="F8FAFC"/>
          </w:tcPr>
          <w:p>
            <w:r>
              <w:rPr>
                <w:sz w:val="19"/>
              </w:rPr>
              <w:t>#15</w:t>
            </w:r>
          </w:p>
        </w:tc>
      </w:tr>
      <w:tr>
        <w:tc>
          <w:tcPr>
            <w:tcW w:type="dxa" w:w="2976"/>
            <w:shd w:val="clear" w:color="auto" w:fill="FFFFFF"/>
          </w:tcPr>
          <w:p>
            <w:r>
              <w:rPr>
                <w:sz w:val="19"/>
              </w:rPr>
              <w:t>inventory</w:t>
            </w:r>
          </w:p>
        </w:tc>
        <w:tc>
          <w:tcPr>
            <w:tcW w:type="dxa" w:w="2976"/>
            <w:shd w:val="clear" w:color="auto" w:fill="FFFFFF"/>
          </w:tcPr>
          <w:p>
            <w:r>
              <w:rPr>
                <w:sz w:val="19"/>
              </w:rPr>
              <w:t>Supply level</w:t>
            </w:r>
          </w:p>
        </w:tc>
        <w:tc>
          <w:tcPr>
            <w:tcW w:type="dxa" w:w="2976"/>
            <w:shd w:val="clear" w:color="auto" w:fill="FFFFFF"/>
          </w:tcPr>
          <w:p>
            <w:r>
              <w:rPr>
                <w:sz w:val="19"/>
              </w:rPr>
              <w:t>#16</w:t>
            </w:r>
          </w:p>
        </w:tc>
      </w:tr>
      <w:tr>
        <w:tc>
          <w:tcPr>
            <w:tcW w:type="dxa" w:w="2976"/>
            <w:shd w:val="clear" w:color="auto" w:fill="F8FAFC"/>
          </w:tcPr>
          <w:p>
            <w:r>
              <w:rPr>
                <w:sz w:val="19"/>
              </w:rPr>
              <w:t>median_days_on_market</w:t>
            </w:r>
          </w:p>
        </w:tc>
        <w:tc>
          <w:tcPr>
            <w:tcW w:type="dxa" w:w="2976"/>
            <w:shd w:val="clear" w:color="auto" w:fill="F8FAFC"/>
          </w:tcPr>
          <w:p>
            <w:r>
              <w:rPr>
                <w:sz w:val="19"/>
              </w:rPr>
              <w:t>Demand speed</w:t>
            </w:r>
          </w:p>
        </w:tc>
        <w:tc>
          <w:tcPr>
            <w:tcW w:type="dxa" w:w="2976"/>
            <w:shd w:val="clear" w:color="auto" w:fill="F8FAFC"/>
          </w:tcPr>
          <w:p>
            <w:r>
              <w:rPr>
                <w:sz w:val="19"/>
              </w:rPr>
              <w:t>#17</w:t>
            </w:r>
          </w:p>
        </w:tc>
      </w:tr>
      <w:tr>
        <w:tc>
          <w:tcPr>
            <w:tcW w:type="dxa" w:w="2976"/>
            <w:shd w:val="clear" w:color="auto" w:fill="FFFFFF"/>
          </w:tcPr>
          <w:p>
            <w:r>
              <w:rPr>
                <w:sz w:val="19"/>
              </w:rPr>
              <w:t>pct_off_market_in_2wks</w:t>
            </w:r>
          </w:p>
        </w:tc>
        <w:tc>
          <w:tcPr>
            <w:tcW w:type="dxa" w:w="2976"/>
            <w:shd w:val="clear" w:color="auto" w:fill="FFFFFF"/>
          </w:tcPr>
          <w:p>
            <w:r>
              <w:rPr>
                <w:sz w:val="19"/>
              </w:rPr>
              <w:t>Demand urgency</w:t>
            </w:r>
          </w:p>
        </w:tc>
        <w:tc>
          <w:tcPr>
            <w:tcW w:type="dxa" w:w="2976"/>
            <w:shd w:val="clear" w:color="auto" w:fill="FFFFFF"/>
          </w:tcPr>
          <w:p>
            <w:r>
              <w:rPr>
                <w:sz w:val="19"/>
              </w:rPr>
              <w:t>#18</w:t>
            </w:r>
          </w:p>
        </w:tc>
      </w:tr>
    </w:tbl>
    <w:p/>
    <w:p>
      <w:r>
        <w:br w:type="page"/>
      </w:r>
    </w:p>
    <w:p>
      <w:pPr>
        <w:pStyle w:val="Heading1"/>
      </w:pPr>
      <w:r>
        <w:rPr>
          <w:color w:val="0D1B2A"/>
          <w:sz w:val="36"/>
        </w:rPr>
        <w:t>7. Clustering — Neighborhood Archetypes</w:t>
      </w:r>
    </w:p>
    <w:p>
      <w:r>
        <w:rPr>
          <w:color w:val="212529"/>
          <w:sz w:val="21"/>
        </w:rPr>
        <w:t>Before building the predictive model, we used unsupervised learning to characterize the structural market identity of each ZIP code. This is separate from the prediction — clustering answers 'what kind of market is this ZIP fundamentally?' while the model answers 'where is it heading next?'</w:t>
      </w:r>
    </w:p>
    <w:p>
      <w:pPr>
        <w:pStyle w:val="Heading2"/>
      </w:pPr>
      <w:r>
        <w:rPr>
          <w:color w:val="E63946"/>
          <w:sz w:val="26"/>
        </w:rPr>
        <w:t>Method</w:t>
      </w:r>
    </w:p>
    <w:p>
      <w:r>
        <w:rPr>
          <w:color w:val="212529"/>
          <w:sz w:val="21"/>
        </w:rPr>
        <w:t>K-means clustering on the same 18 features selected by RFECV for the prediction model (means computed over Jun 2019–Dec 2024). Using the model's own feature set improved silhouette from 0.11 to 0.16 vs. the original 22-feature approach. Each ZIP gets one cluster assignment representing its long-run market character.</w:t>
      </w:r>
    </w:p>
    <w:p/>
    <w:p>
      <w:pPr>
        <w:ind w:left="432" w:right="432"/>
        <w:shd w:val="clear" w:color="auto" w:fill="0D1B2A"/>
      </w:pPr>
      <w:r>
        <w:rPr>
          <w:b/>
          <w:color w:val="FFFFFF"/>
          <w:sz w:val="20"/>
        </w:rPr>
        <w:t xml:space="preserve">  DECISION: Use static (time-invariant) cluster assignments rather than monthly re-clustering  </w:t>
      </w:r>
    </w:p>
    <w:p>
      <w:pPr>
        <w:ind w:left="432" w:right="432"/>
      </w:pPr>
      <w:r>
        <w:rPr>
          <w:b/>
          <w:sz w:val="20"/>
        </w:rPr>
        <w:t xml:space="preserve">Why: </w:t>
      </w:r>
      <w:r>
        <w:rPr>
          <w:sz w:val="20"/>
        </w:rPr>
        <w:t>The clusters are meant to characterize a ZIP's structural identity — its long-run market type — not its current momentum. The prediction model already captures the time-varying dynamics. Having both time-varying clusters and time-varying predictions would be redundant and harder to interpret. A ZIP being 'Affordable High Appreciation' is a durable property of its market structure; whether it's about to break out is what the model predicts.</w:t>
      </w:r>
    </w:p>
    <w:p>
      <w:pPr>
        <w:ind w:left="432" w:right="432"/>
      </w:pPr>
      <w:r>
        <w:rPr>
          <w:b/>
          <w:color w:val="E63946"/>
          <w:sz w:val="20"/>
        </w:rPr>
        <w:t xml:space="preserve">Implication: </w:t>
      </w:r>
      <w:r>
        <w:rPr>
          <w:sz w:val="20"/>
        </w:rPr>
        <w:t>Cluster labels are stable context for interpretation, not additional prediction signals.</w:t>
      </w:r>
    </w:p>
    <w:p/>
    <w:p>
      <w:pPr>
        <w:pStyle w:val="Heading2"/>
      </w:pPr>
      <w:r>
        <w:rPr>
          <w:color w:val="E63946"/>
          <w:sz w:val="26"/>
        </w:rPr>
        <w:t>Silhouette Score and Honest Interpretation</w:t>
      </w:r>
    </w:p>
    <w:p/>
    <w:p>
      <w:pPr>
        <w:ind w:left="432" w:right="432"/>
        <w:shd w:val="clear" w:color="auto" w:fill="0D1B2A"/>
      </w:pPr>
      <w:r>
        <w:rPr>
          <w:b/>
          <w:color w:val="FFFFFF"/>
          <w:sz w:val="20"/>
        </w:rPr>
        <w:t xml:space="preserve">  DECISION: Report and acknowledge the silhouette score of 0.16  </w:t>
      </w:r>
    </w:p>
    <w:p>
      <w:pPr>
        <w:ind w:left="432" w:right="432"/>
      </w:pPr>
      <w:r>
        <w:rPr>
          <w:b/>
          <w:sz w:val="20"/>
        </w:rPr>
        <w:t xml:space="preserve">Why: </w:t>
      </w:r>
      <w:r>
        <w:rPr>
          <w:sz w:val="20"/>
        </w:rPr>
        <w:t>K-means silhouette scores in geographic/economic clustering are commonly low because real markets exist on a continuum rather than in discrete clusters. A score of 0.16 does not mean the clustering is wrong — it means the boundaries are fuzzy, which is an accurate reflection of reality. Using the same 18 features as the prediction model improved separation (0.16 vs. 0.11) and ensures the archetypes are defined in the same language the model speaks.</w:t>
      </w:r>
    </w:p>
    <w:p>
      <w:pPr>
        <w:ind w:left="432" w:right="432"/>
      </w:pPr>
      <w:r>
        <w:rPr>
          <w:b/>
          <w:color w:val="E63946"/>
          <w:sz w:val="20"/>
        </w:rPr>
        <w:t xml:space="preserve">Implication: </w:t>
      </w:r>
      <w:r>
        <w:rPr>
          <w:sz w:val="20"/>
        </w:rPr>
        <w:t>The clusters should be presented as 'market tendencies on a spectrum', not as hard, mutually exclusive categories. The profiles are real and interpretable — a ZIP in the 'Affordable High Appreciation' cluster genuinely behaves differently than one in 'High-Value, Tight Supply' — but the boundary between clusters is not sharp.</w:t>
      </w:r>
    </w:p>
    <w:p/>
    <w:p>
      <w:pPr>
        <w:pStyle w:val="Heading2"/>
      </w:pPr>
      <w:r>
        <w:rPr>
          <w:color w:val="E63946"/>
          <w:sz w:val="26"/>
        </w:rPr>
        <w:t>The 5 Archetypes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2A"/>
          </w:tcPr>
          <w:p>
            <w:r>
              <w:rPr>
                <w:b/>
                <w:color w:val="FFFFFF"/>
                <w:sz w:val="19"/>
              </w:rPr>
              <w:t>Archetype</w:t>
            </w:r>
          </w:p>
        </w:tc>
        <w:tc>
          <w:tcPr>
            <w:tcW w:type="dxa" w:w="2232"/>
            <w:shd w:val="clear" w:color="auto" w:fill="0D1B2A"/>
          </w:tcPr>
          <w:p>
            <w:r>
              <w:rPr>
                <w:b/>
                <w:color w:val="FFFFFF"/>
                <w:sz w:val="19"/>
              </w:rPr>
              <w:t>ZIPs</w:t>
            </w:r>
          </w:p>
        </w:tc>
        <w:tc>
          <w:tcPr>
            <w:tcW w:type="dxa" w:w="2232"/>
            <w:shd w:val="clear" w:color="auto" w:fill="0D1B2A"/>
          </w:tcPr>
          <w:p>
            <w:r>
              <w:rPr>
                <w:b/>
                <w:color w:val="FFFFFF"/>
                <w:sz w:val="19"/>
              </w:rPr>
              <w:t>Key characteristics</w:t>
            </w:r>
          </w:p>
        </w:tc>
        <w:tc>
          <w:tcPr>
            <w:tcW w:type="dxa" w:w="2232"/>
            <w:shd w:val="clear" w:color="auto" w:fill="0D1B2A"/>
          </w:tcPr>
          <w:p>
            <w:r>
              <w:rPr>
                <w:b/>
                <w:color w:val="FFFFFF"/>
                <w:sz w:val="19"/>
              </w:rPr>
              <w:t>Avg opportunity score</w:t>
            </w:r>
          </w:p>
        </w:tc>
      </w:tr>
      <w:tr>
        <w:tc>
          <w:tcPr>
            <w:tcW w:type="dxa" w:w="2232"/>
            <w:shd w:val="clear" w:color="auto" w:fill="F8FAFC"/>
          </w:tcPr>
          <w:p>
            <w:r>
              <w:rPr>
                <w:sz w:val="19"/>
              </w:rPr>
              <w:t>💎 High-Value, Tight Supply</w:t>
            </w:r>
          </w:p>
        </w:tc>
        <w:tc>
          <w:tcPr>
            <w:tcW w:type="dxa" w:w="2232"/>
            <w:shd w:val="clear" w:color="auto" w:fill="F8FAFC"/>
          </w:tcPr>
          <w:p>
            <w:r>
              <w:rPr>
                <w:sz w:val="19"/>
              </w:rPr>
              <w:t>74</w:t>
            </w:r>
          </w:p>
        </w:tc>
        <w:tc>
          <w:tcPr>
            <w:tcW w:type="dxa" w:w="2232"/>
            <w:shd w:val="clear" w:color="auto" w:fill="F8FAFC"/>
          </w:tcPr>
          <w:p>
            <w:r>
              <w:rPr>
                <w:sz w:val="19"/>
              </w:rPr>
              <w:t>Highest median values (~$318K), only cluster with declining inventory (−8% YoY), high off-market rate (41%). Durable demand absorbs supply consistently.</w:t>
            </w:r>
          </w:p>
        </w:tc>
        <w:tc>
          <w:tcPr>
            <w:tcW w:type="dxa" w:w="2232"/>
            <w:shd w:val="clear" w:color="auto" w:fill="F8FAFC"/>
          </w:tcPr>
          <w:p>
            <w:r>
              <w:rPr>
                <w:sz w:val="19"/>
              </w:rPr>
              <w:t>~45%</w:t>
            </w:r>
          </w:p>
        </w:tc>
      </w:tr>
      <w:tr>
        <w:tc>
          <w:tcPr>
            <w:tcW w:type="dxa" w:w="2232"/>
            <w:shd w:val="clear" w:color="auto" w:fill="FFFFFF"/>
          </w:tcPr>
          <w:p>
            <w:r>
              <w:rPr>
                <w:sz w:val="19"/>
              </w:rPr>
              <w:t>🧊 Low-Activity, Cooling</w:t>
            </w:r>
          </w:p>
        </w:tc>
        <w:tc>
          <w:tcPr>
            <w:tcW w:type="dxa" w:w="2232"/>
            <w:shd w:val="clear" w:color="auto" w:fill="FFFFFF"/>
          </w:tcPr>
          <w:p>
            <w:r>
              <w:rPr>
                <w:sz w:val="19"/>
              </w:rPr>
              <w:t>44</w:t>
            </w:r>
          </w:p>
        </w:tc>
        <w:tc>
          <w:tcPr>
            <w:tcW w:type="dxa" w:w="2232"/>
            <w:shd w:val="clear" w:color="auto" w:fill="FFFFFF"/>
          </w:tcPr>
          <w:p>
            <w:r>
              <w:rPr>
                <w:sz w:val="19"/>
              </w:rPr>
              <w:t>Lowest values (~$162K), weakest appreciation (7.1% YoY), highest inventory growth (+14% YoY), slowest sales pace (76-day DOM). Softest market on all metrics.</w:t>
            </w:r>
          </w:p>
        </w:tc>
        <w:tc>
          <w:tcPr>
            <w:tcW w:type="dxa" w:w="2232"/>
            <w:shd w:val="clear" w:color="auto" w:fill="FFFFFF"/>
          </w:tcPr>
          <w:p>
            <w:r>
              <w:rPr>
                <w:sz w:val="19"/>
              </w:rPr>
              <w:t>~25%</w:t>
            </w:r>
          </w:p>
        </w:tc>
      </w:tr>
      <w:tr>
        <w:tc>
          <w:tcPr>
            <w:tcW w:type="dxa" w:w="2232"/>
            <w:shd w:val="clear" w:color="auto" w:fill="F8FAFC"/>
          </w:tcPr>
          <w:p>
            <w:r>
              <w:rPr>
                <w:sz w:val="19"/>
              </w:rPr>
              <w:t>🔥 Competitive Mid-Market</w:t>
            </w:r>
          </w:p>
        </w:tc>
        <w:tc>
          <w:tcPr>
            <w:tcW w:type="dxa" w:w="2232"/>
            <w:shd w:val="clear" w:color="auto" w:fill="F8FAFC"/>
          </w:tcPr>
          <w:p>
            <w:r>
              <w:rPr>
                <w:sz w:val="19"/>
              </w:rPr>
              <w:t>211</w:t>
            </w:r>
          </w:p>
        </w:tc>
        <w:tc>
          <w:tcPr>
            <w:tcW w:type="dxa" w:w="2232"/>
            <w:shd w:val="clear" w:color="auto" w:fill="F8FAFC"/>
          </w:tcPr>
          <w:p>
            <w:r>
              <w:rPr>
                <w:sz w:val="19"/>
              </w:rPr>
              <w:t>Mid-range values (~$266K), highest above-list rate (37.6%), fastest DOM (45 days). Strongest competition of any cluster — broad geographic representation.</w:t>
            </w:r>
          </w:p>
        </w:tc>
        <w:tc>
          <w:tcPr>
            <w:tcW w:type="dxa" w:w="2232"/>
            <w:shd w:val="clear" w:color="auto" w:fill="F8FAFC"/>
          </w:tcPr>
          <w:p>
            <w:r>
              <w:rPr>
                <w:sz w:val="19"/>
              </w:rPr>
              <w:t>~52%</w:t>
            </w:r>
          </w:p>
        </w:tc>
      </w:tr>
      <w:tr>
        <w:tc>
          <w:tcPr>
            <w:tcW w:type="dxa" w:w="2232"/>
            <w:shd w:val="clear" w:color="auto" w:fill="FFFFFF"/>
          </w:tcPr>
          <w:p>
            <w:r>
              <w:rPr>
                <w:sz w:val="19"/>
              </w:rPr>
              <w:t>⚡ Affordable, High Appreciation</w:t>
            </w:r>
          </w:p>
        </w:tc>
        <w:tc>
          <w:tcPr>
            <w:tcW w:type="dxa" w:w="2232"/>
            <w:shd w:val="clear" w:color="auto" w:fill="FFFFFF"/>
          </w:tcPr>
          <w:p>
            <w:r>
              <w:rPr>
                <w:sz w:val="19"/>
              </w:rPr>
              <w:t>172</w:t>
            </w:r>
          </w:p>
        </w:tc>
        <w:tc>
          <w:tcPr>
            <w:tcW w:type="dxa" w:w="2232"/>
            <w:shd w:val="clear" w:color="auto" w:fill="FFFFFF"/>
          </w:tcPr>
          <w:p>
            <w:r>
              <w:rPr>
                <w:sz w:val="19"/>
              </w:rPr>
              <w:t>Entry-level (~$216K) with strongest YoY appreciation (12.8%). Rising inventory signals growing developer and investor interest. Best affordability-momentum combination.</w:t>
            </w:r>
          </w:p>
        </w:tc>
        <w:tc>
          <w:tcPr>
            <w:tcW w:type="dxa" w:w="2232"/>
            <w:shd w:val="clear" w:color="auto" w:fill="FFFFFF"/>
          </w:tcPr>
          <w:p>
            <w:r>
              <w:rPr>
                <w:sz w:val="19"/>
              </w:rPr>
              <w:t>~55%</w:t>
            </w:r>
          </w:p>
        </w:tc>
      </w:tr>
      <w:tr>
        <w:tc>
          <w:tcPr>
            <w:tcW w:type="dxa" w:w="2232"/>
            <w:shd w:val="clear" w:color="auto" w:fill="F8FAFC"/>
          </w:tcPr>
          <w:p>
            <w:r>
              <w:rPr>
                <w:sz w:val="19"/>
              </w:rPr>
              <w:t>📦 Moderate Value, Supply Growing</w:t>
            </w:r>
          </w:p>
        </w:tc>
        <w:tc>
          <w:tcPr>
            <w:tcW w:type="dxa" w:w="2232"/>
            <w:shd w:val="clear" w:color="auto" w:fill="F8FAFC"/>
          </w:tcPr>
          <w:p>
            <w:r>
              <w:rPr>
                <w:sz w:val="19"/>
              </w:rPr>
              <w:t>154</w:t>
            </w:r>
          </w:p>
        </w:tc>
        <w:tc>
          <w:tcPr>
            <w:tcW w:type="dxa" w:w="2232"/>
            <w:shd w:val="clear" w:color="auto" w:fill="F8FAFC"/>
          </w:tcPr>
          <w:p>
            <w:r>
              <w:rPr>
                <w:sz w:val="19"/>
              </w:rPr>
              <w:t>Mid-range (~$213K), rising inventory (+8% YoY), slow DOM (76 days), softest competition. Supply outpacing demand — appreciation is holding but buyers have options.</w:t>
            </w:r>
          </w:p>
        </w:tc>
        <w:tc>
          <w:tcPr>
            <w:tcW w:type="dxa" w:w="2232"/>
            <w:shd w:val="clear" w:color="auto" w:fill="F8FAFC"/>
          </w:tcPr>
          <w:p>
            <w:r>
              <w:rPr>
                <w:sz w:val="19"/>
              </w:rPr>
              <w:t>~38%</w:t>
            </w:r>
          </w:p>
        </w:tc>
      </w:tr>
    </w:tbl>
    <w:p/>
    <w:p>
      <w:r>
        <w:br w:type="page"/>
      </w:r>
    </w:p>
    <w:p>
      <w:pPr>
        <w:pStyle w:val="Heading1"/>
      </w:pPr>
      <w:r>
        <w:rPr>
          <w:color w:val="0D1B2A"/>
          <w:sz w:val="36"/>
        </w:rPr>
        <w:t>8. Supervised Modeling</w:t>
      </w:r>
    </w:p>
    <w:p>
      <w:pPr>
        <w:pStyle w:val="Heading2"/>
      </w:pPr>
      <w:r>
        <w:rPr>
          <w:color w:val="E63946"/>
          <w:sz w:val="26"/>
        </w:rPr>
        <w:t>Why Walk-Forward Validation — Not Random Splits</w:t>
      </w:r>
    </w:p>
    <w:p/>
    <w:p>
      <w:pPr>
        <w:ind w:left="432" w:right="432"/>
        <w:shd w:val="clear" w:color="auto" w:fill="0D1B2A"/>
      </w:pPr>
      <w:r>
        <w:rPr>
          <w:b/>
          <w:color w:val="FFFFFF"/>
          <w:sz w:val="20"/>
        </w:rPr>
        <w:t xml:space="preserve">  DECISION: Use walk-forward (time-ordered) validation exclusively  </w:t>
      </w:r>
    </w:p>
    <w:p>
      <w:pPr>
        <w:ind w:left="432" w:right="432"/>
      </w:pPr>
      <w:r>
        <w:rPr>
          <w:b/>
          <w:sz w:val="20"/>
        </w:rPr>
        <w:t xml:space="preserve">Why: </w:t>
      </w:r>
      <w:r>
        <w:rPr>
          <w:sz w:val="20"/>
        </w:rPr>
        <w:t>The data is a time-series panel: the same 655 ZIPs observed monthly over several years. Random train/test splits would allow the model to train on June 2021 data and test on January 2021 data — learning from the future to predict the past. This leaks information and produces wildly optimistic AUC scores that won't hold up in real deployment. Walk-forward training matches how the model would actually be used: always trained on the past, predicting the future.</w:t>
      </w:r>
    </w:p>
    <w:p>
      <w:pPr>
        <w:ind w:left="432" w:right="432"/>
      </w:pPr>
      <w:r>
        <w:rPr>
          <w:b/>
          <w:color w:val="E63946"/>
          <w:sz w:val="20"/>
        </w:rPr>
        <w:t xml:space="preserve">Implication: </w:t>
      </w:r>
      <w:r>
        <w:rPr>
          <w:sz w:val="20"/>
        </w:rPr>
        <w:t>All reported AUC and F1 scores are from walk-forward evaluation only. Any model evaluated with random splits on this dataset should be considered unreliable.</w:t>
      </w:r>
    </w:p>
    <w:p/>
    <w:p>
      <w:pPr>
        <w:pStyle w:val="Heading2"/>
      </w:pPr>
      <w:r>
        <w:rPr>
          <w:color w:val="E63946"/>
          <w:sz w:val="26"/>
        </w:rPr>
        <w:t>Walk-Forward Folds and Retrospective Validation</w:t>
      </w:r>
    </w:p>
    <w:tbl>
      <w:tblPr>
        <w:tblStyle w:val="TableGrid"/>
        <w:tblW w:type="auto" w:w="0"/>
        <w:tblLook w:firstColumn="1" w:firstRow="1" w:lastColumn="0" w:lastRow="0" w:noHBand="0" w:noVBand="1" w:val="04A0"/>
      </w:tblPr>
      <w:tblGrid>
        <w:gridCol w:w="1786"/>
        <w:gridCol w:w="1786"/>
        <w:gridCol w:w="1786"/>
        <w:gridCol w:w="1786"/>
        <w:gridCol w:w="1786"/>
      </w:tblGrid>
      <w:tr>
        <w:tc>
          <w:tcPr>
            <w:tcW w:type="dxa" w:w="1786"/>
            <w:shd w:val="clear" w:color="auto" w:fill="0D1B2A"/>
          </w:tcPr>
          <w:p>
            <w:r>
              <w:rPr>
                <w:b/>
                <w:color w:val="FFFFFF"/>
                <w:sz w:val="19"/>
              </w:rPr>
              <w:t>Fold</w:t>
            </w:r>
          </w:p>
        </w:tc>
        <w:tc>
          <w:tcPr>
            <w:tcW w:type="dxa" w:w="1786"/>
            <w:shd w:val="clear" w:color="auto" w:fill="0D1B2A"/>
          </w:tcPr>
          <w:p>
            <w:r>
              <w:rPr>
                <w:b/>
                <w:color w:val="FFFFFF"/>
                <w:sz w:val="19"/>
              </w:rPr>
              <w:t>Training data</w:t>
            </w:r>
          </w:p>
        </w:tc>
        <w:tc>
          <w:tcPr>
            <w:tcW w:type="dxa" w:w="1786"/>
            <w:shd w:val="clear" w:color="auto" w:fill="0D1B2A"/>
          </w:tcPr>
          <w:p>
            <w:r>
              <w:rPr>
                <w:b/>
                <w:color w:val="FFFFFF"/>
                <w:sz w:val="19"/>
              </w:rPr>
              <w:t>Test / Evaluation</w:t>
            </w:r>
          </w:p>
        </w:tc>
        <w:tc>
          <w:tcPr>
            <w:tcW w:type="dxa" w:w="1786"/>
            <w:shd w:val="clear" w:color="auto" w:fill="0D1B2A"/>
          </w:tcPr>
          <w:p>
            <w:r>
              <w:rPr>
                <w:b/>
                <w:color w:val="FFFFFF"/>
                <w:sz w:val="19"/>
              </w:rPr>
              <w:t>AUC</w:t>
            </w:r>
          </w:p>
        </w:tc>
        <w:tc>
          <w:tcPr>
            <w:tcW w:type="dxa" w:w="1786"/>
            <w:shd w:val="clear" w:color="auto" w:fill="0D1B2A"/>
          </w:tcPr>
          <w:p>
            <w:r>
              <w:rPr>
                <w:b/>
                <w:color w:val="FFFFFF"/>
                <w:sz w:val="19"/>
              </w:rPr>
              <w:t>Note</w:t>
            </w:r>
          </w:p>
        </w:tc>
      </w:tr>
      <w:tr>
        <w:tc>
          <w:tcPr>
            <w:tcW w:type="dxa" w:w="1786"/>
            <w:shd w:val="clear" w:color="auto" w:fill="F8FAFC"/>
          </w:tcPr>
          <w:p>
            <w:r>
              <w:rPr>
                <w:sz w:val="19"/>
              </w:rPr>
              <w:t>A</w:t>
            </w:r>
          </w:p>
        </w:tc>
        <w:tc>
          <w:tcPr>
            <w:tcW w:type="dxa" w:w="1786"/>
            <w:shd w:val="clear" w:color="auto" w:fill="F8FAFC"/>
          </w:tcPr>
          <w:p>
            <w:r>
              <w:rPr>
                <w:sz w:val="19"/>
              </w:rPr>
              <w:t>Jun 2019 – Dec 2020</w:t>
            </w:r>
          </w:p>
        </w:tc>
        <w:tc>
          <w:tcPr>
            <w:tcW w:type="dxa" w:w="1786"/>
            <w:shd w:val="clear" w:color="auto" w:fill="F8FAFC"/>
          </w:tcPr>
          <w:p>
            <w:r>
              <w:rPr>
                <w:sz w:val="19"/>
              </w:rPr>
              <w:t>Jan–Dec 2021</w:t>
            </w:r>
          </w:p>
        </w:tc>
        <w:tc>
          <w:tcPr>
            <w:tcW w:type="dxa" w:w="1786"/>
            <w:shd w:val="clear" w:color="auto" w:fill="F8FAFC"/>
          </w:tcPr>
          <w:p>
            <w:r>
              <w:rPr>
                <w:sz w:val="19"/>
              </w:rPr>
              <w:t>0.8443</w:t>
            </w:r>
          </w:p>
        </w:tc>
        <w:tc>
          <w:tcPr>
            <w:tcW w:type="dxa" w:w="1786"/>
            <w:shd w:val="clear" w:color="auto" w:fill="F8FAFC"/>
          </w:tcPr>
          <w:p>
            <w:r>
              <w:rPr>
                <w:sz w:val="19"/>
              </w:rPr>
              <w:t>COVID-era hot market — strong signal</w:t>
            </w:r>
          </w:p>
        </w:tc>
      </w:tr>
      <w:tr>
        <w:tc>
          <w:tcPr>
            <w:tcW w:type="dxa" w:w="1786"/>
            <w:shd w:val="clear" w:color="auto" w:fill="FFFFFF"/>
          </w:tcPr>
          <w:p>
            <w:r>
              <w:rPr>
                <w:sz w:val="19"/>
              </w:rPr>
              <w:t>B</w:t>
            </w:r>
          </w:p>
        </w:tc>
        <w:tc>
          <w:tcPr>
            <w:tcW w:type="dxa" w:w="1786"/>
            <w:shd w:val="clear" w:color="auto" w:fill="FFFFFF"/>
          </w:tcPr>
          <w:p>
            <w:r>
              <w:rPr>
                <w:sz w:val="19"/>
              </w:rPr>
              <w:t>Jun 2019 – Dec 2021</w:t>
            </w:r>
          </w:p>
        </w:tc>
        <w:tc>
          <w:tcPr>
            <w:tcW w:type="dxa" w:w="1786"/>
            <w:shd w:val="clear" w:color="auto" w:fill="FFFFFF"/>
          </w:tcPr>
          <w:p>
            <w:r>
              <w:rPr>
                <w:sz w:val="19"/>
              </w:rPr>
              <w:t>Jan–Dec 2022</w:t>
            </w:r>
          </w:p>
        </w:tc>
        <w:tc>
          <w:tcPr>
            <w:tcW w:type="dxa" w:w="1786"/>
            <w:shd w:val="clear" w:color="auto" w:fill="FFFFFF"/>
          </w:tcPr>
          <w:p>
            <w:r>
              <w:rPr>
                <w:sz w:val="19"/>
              </w:rPr>
              <w:t>0.8153</w:t>
            </w:r>
          </w:p>
        </w:tc>
        <w:tc>
          <w:tcPr>
            <w:tcW w:type="dxa" w:w="1786"/>
            <w:shd w:val="clear" w:color="auto" w:fill="FFFFFF"/>
          </w:tcPr>
          <w:p>
            <w:r>
              <w:rPr>
                <w:sz w:val="19"/>
              </w:rPr>
              <w:t>Fed rate-hike year — market inflection, hardest fold</w:t>
            </w:r>
          </w:p>
        </w:tc>
      </w:tr>
      <w:tr>
        <w:tc>
          <w:tcPr>
            <w:tcW w:type="dxa" w:w="1786"/>
            <w:shd w:val="clear" w:color="auto" w:fill="F8FAFC"/>
          </w:tcPr>
          <w:p>
            <w:r>
              <w:rPr>
                <w:sz w:val="19"/>
              </w:rPr>
              <w:t>C (primary)</w:t>
            </w:r>
          </w:p>
        </w:tc>
        <w:tc>
          <w:tcPr>
            <w:tcW w:type="dxa" w:w="1786"/>
            <w:shd w:val="clear" w:color="auto" w:fill="F8FAFC"/>
          </w:tcPr>
          <w:p>
            <w:r>
              <w:rPr>
                <w:sz w:val="19"/>
              </w:rPr>
              <w:t>Jun 2019 – Dec 2022</w:t>
            </w:r>
          </w:p>
        </w:tc>
        <w:tc>
          <w:tcPr>
            <w:tcW w:type="dxa" w:w="1786"/>
            <w:shd w:val="clear" w:color="auto" w:fill="F8FAFC"/>
          </w:tcPr>
          <w:p>
            <w:r>
              <w:rPr>
                <w:sz w:val="19"/>
              </w:rPr>
              <w:t>Jan–Dec 2023</w:t>
            </w:r>
          </w:p>
        </w:tc>
        <w:tc>
          <w:tcPr>
            <w:tcW w:type="dxa" w:w="1786"/>
            <w:shd w:val="clear" w:color="auto" w:fill="F8FAFC"/>
          </w:tcPr>
          <w:p>
            <w:r>
              <w:rPr>
                <w:sz w:val="19"/>
              </w:rPr>
              <w:t>0.8652</w:t>
            </w:r>
          </w:p>
        </w:tc>
        <w:tc>
          <w:tcPr>
            <w:tcW w:type="dxa" w:w="1786"/>
            <w:shd w:val="clear" w:color="auto" w:fill="F8FAFC"/>
          </w:tcPr>
          <w:p>
            <w:r>
              <w:rPr>
                <w:sz w:val="19"/>
              </w:rPr>
              <w:t>Post-normalization — model at its best with most training data</w:t>
            </w:r>
          </w:p>
        </w:tc>
      </w:tr>
      <w:tr>
        <w:tc>
          <w:tcPr>
            <w:tcW w:type="dxa" w:w="1786"/>
            <w:shd w:val="clear" w:color="auto" w:fill="FFFFFF"/>
          </w:tcPr>
          <w:p>
            <w:r>
              <w:rPr>
                <w:sz w:val="19"/>
              </w:rPr>
              <w:t>D (retrain)</w:t>
            </w:r>
          </w:p>
        </w:tc>
        <w:tc>
          <w:tcPr>
            <w:tcW w:type="dxa" w:w="1786"/>
            <w:shd w:val="clear" w:color="auto" w:fill="FFFFFF"/>
          </w:tcPr>
          <w:p>
            <w:r>
              <w:rPr>
                <w:sz w:val="19"/>
              </w:rPr>
              <w:t>Jun 2019 – Dec 2023</w:t>
            </w:r>
          </w:p>
        </w:tc>
        <w:tc>
          <w:tcPr>
            <w:tcW w:type="dxa" w:w="1786"/>
            <w:shd w:val="clear" w:color="auto" w:fill="FFFFFF"/>
          </w:tcPr>
          <w:p>
            <w:r>
              <w:rPr>
                <w:sz w:val="19"/>
              </w:rPr>
              <w:t>Jan–Dec 2024</w:t>
            </w:r>
          </w:p>
        </w:tc>
        <w:tc>
          <w:tcPr>
            <w:tcW w:type="dxa" w:w="1786"/>
            <w:shd w:val="clear" w:color="auto" w:fill="FFFFFF"/>
          </w:tcPr>
          <w:p>
            <w:r>
              <w:rPr>
                <w:sz w:val="19"/>
              </w:rPr>
              <w:t>0.7240</w:t>
            </w:r>
          </w:p>
        </w:tc>
        <w:tc>
          <w:tcPr>
            <w:tcW w:type="dxa" w:w="1786"/>
            <w:shd w:val="clear" w:color="auto" w:fill="FFFFFF"/>
          </w:tcPr>
          <w:p>
            <w:r>
              <w:rPr>
                <w:sz w:val="19"/>
              </w:rPr>
              <w:t>Retrained model — powers the 2025 forward signal</w:t>
            </w:r>
          </w:p>
        </w:tc>
      </w:tr>
      <w:tr>
        <w:tc>
          <w:tcPr>
            <w:tcW w:type="dxa" w:w="1786"/>
            <w:shd w:val="clear" w:color="auto" w:fill="F8FAFC"/>
          </w:tcPr>
          <w:p>
            <w:r>
              <w:rPr>
                <w:sz w:val="19"/>
              </w:rPr>
              <w:t>Actuals</w:t>
            </w:r>
          </w:p>
        </w:tc>
        <w:tc>
          <w:tcPr>
            <w:tcW w:type="dxa" w:w="1786"/>
            <w:shd w:val="clear" w:color="auto" w:fill="F8FAFC"/>
          </w:tcPr>
          <w:p>
            <w:r>
              <w:rPr>
                <w:sz w:val="19"/>
              </w:rPr>
              <w:t>Jun 2019 – Dec 2022</w:t>
            </w:r>
          </w:p>
        </w:tc>
        <w:tc>
          <w:tcPr>
            <w:tcW w:type="dxa" w:w="1786"/>
            <w:shd w:val="clear" w:color="auto" w:fill="F8FAFC"/>
          </w:tcPr>
          <w:p>
            <w:r>
              <w:rPr>
                <w:sz w:val="19"/>
              </w:rPr>
              <w:t>2025 real outcomes</w:t>
            </w:r>
          </w:p>
        </w:tc>
        <w:tc>
          <w:tcPr>
            <w:tcW w:type="dxa" w:w="1786"/>
            <w:shd w:val="clear" w:color="auto" w:fill="F8FAFC"/>
          </w:tcPr>
          <w:p>
            <w:r>
              <w:rPr>
                <w:sz w:val="19"/>
              </w:rPr>
              <w:t>0.7747</w:t>
            </w:r>
          </w:p>
        </w:tc>
        <w:tc>
          <w:tcPr>
            <w:tcW w:type="dxa" w:w="1786"/>
            <w:shd w:val="clear" w:color="auto" w:fill="F8FAFC"/>
          </w:tcPr>
          <w:p>
            <w:r>
              <w:rPr>
                <w:sz w:val="19"/>
              </w:rPr>
              <w:t>2024 predictions vs. actual 2025 transitions — retrospective validation</w:t>
            </w:r>
          </w:p>
        </w:tc>
      </w:tr>
    </w:tbl>
    <w:p/>
    <w:p>
      <w:r>
        <w:rPr>
          <w:color w:val="212529"/>
          <w:sz w:val="21"/>
        </w:rPr>
        <w:t>The 2022 AUC dip to 0.815 is expected and not a failure. The Fed began an aggressive rate-hike cycle in early 2022, causing the sharpest housing market correction in decades. The model was trained on 2019–2021 (pre-hike conditions) and tested on a completely different regime. The 2023 recovery to 0.865 shows the model captures durable structural signals, not just COVID-era noise. The retrospective 2025 validation (AUC 0.7747) further confirms the model generalises across multiple market cycles.</w:t>
      </w:r>
    </w:p>
    <w:p>
      <w:pPr>
        <w:pStyle w:val="Heading2"/>
      </w:pPr>
      <w:r>
        <w:rPr>
          <w:color w:val="E63946"/>
          <w:sz w:val="26"/>
        </w:rPr>
        <w:t>Model Selection Process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2A"/>
          </w:tcPr>
          <w:p>
            <w:r>
              <w:rPr>
                <w:b/>
                <w:color w:val="FFFFFF"/>
                <w:sz w:val="19"/>
              </w:rPr>
              <w:t>Version</w:t>
            </w:r>
          </w:p>
        </w:tc>
        <w:tc>
          <w:tcPr>
            <w:tcW w:type="dxa" w:w="2232"/>
            <w:shd w:val="clear" w:color="auto" w:fill="0D1B2A"/>
          </w:tcPr>
          <w:p>
            <w:r>
              <w:rPr>
                <w:b/>
                <w:color w:val="FFFFFF"/>
                <w:sz w:val="19"/>
              </w:rPr>
              <w:t>Description</w:t>
            </w:r>
          </w:p>
        </w:tc>
        <w:tc>
          <w:tcPr>
            <w:tcW w:type="dxa" w:w="2232"/>
            <w:shd w:val="clear" w:color="auto" w:fill="0D1B2A"/>
          </w:tcPr>
          <w:p>
            <w:r>
              <w:rPr>
                <w:b/>
                <w:color w:val="FFFFFF"/>
                <w:sz w:val="19"/>
              </w:rPr>
              <w:t>AUC (Fold B)</w:t>
            </w:r>
          </w:p>
        </w:tc>
        <w:tc>
          <w:tcPr>
            <w:tcW w:type="dxa" w:w="2232"/>
            <w:shd w:val="clear" w:color="auto" w:fill="0D1B2A"/>
          </w:tcPr>
          <w:p>
            <w:r>
              <w:rPr>
                <w:b/>
                <w:color w:val="FFFFFF"/>
                <w:sz w:val="19"/>
              </w:rPr>
              <w:t>Decision</w:t>
            </w:r>
          </w:p>
        </w:tc>
      </w:tr>
      <w:tr>
        <w:tc>
          <w:tcPr>
            <w:tcW w:type="dxa" w:w="2232"/>
            <w:shd w:val="clear" w:color="auto" w:fill="F8FAFC"/>
          </w:tcPr>
          <w:p>
            <w:r>
              <w:rPr>
                <w:sz w:val="19"/>
              </w:rPr>
              <w:t>V1</w:t>
            </w:r>
          </w:p>
        </w:tc>
        <w:tc>
          <w:tcPr>
            <w:tcW w:type="dxa" w:w="2232"/>
            <w:shd w:val="clear" w:color="auto" w:fill="F8FAFC"/>
          </w:tcPr>
          <w:p>
            <w:r>
              <w:rPr>
                <w:sz w:val="19"/>
              </w:rPr>
              <w:t>All features including mortgage rates</w:t>
            </w:r>
          </w:p>
        </w:tc>
        <w:tc>
          <w:tcPr>
            <w:tcW w:type="dxa" w:w="2232"/>
            <w:shd w:val="clear" w:color="auto" w:fill="F8FAFC"/>
          </w:tcPr>
          <w:p>
            <w:r>
              <w:rPr>
                <w:sz w:val="19"/>
              </w:rPr>
              <w:t>0.861</w:t>
            </w:r>
          </w:p>
        </w:tc>
        <w:tc>
          <w:tcPr>
            <w:tcW w:type="dxa" w:w="2232"/>
            <w:shd w:val="clear" w:color="auto" w:fill="F8FAFC"/>
          </w:tcPr>
          <w:p>
            <w:r>
              <w:rPr>
                <w:sz w:val="19"/>
              </w:rPr>
              <w:t>Mortgage rate was #1 feature — national signal, not ZIP-specific. Rejected.</w:t>
            </w:r>
          </w:p>
        </w:tc>
      </w:tr>
      <w:tr>
        <w:tc>
          <w:tcPr>
            <w:tcW w:type="dxa" w:w="2232"/>
            <w:shd w:val="clear" w:color="auto" w:fill="FFFFFF"/>
          </w:tcPr>
          <w:p>
            <w:r>
              <w:rPr>
                <w:sz w:val="19"/>
              </w:rPr>
              <w:t>V2</w:t>
            </w:r>
          </w:p>
        </w:tc>
        <w:tc>
          <w:tcPr>
            <w:tcW w:type="dxa" w:w="2232"/>
            <w:shd w:val="clear" w:color="auto" w:fill="FFFFFF"/>
          </w:tcPr>
          <w:p>
            <w:r>
              <w:rPr>
                <w:sz w:val="19"/>
              </w:rPr>
              <w:t>V1 minus mortgage features</w:t>
            </w:r>
          </w:p>
        </w:tc>
        <w:tc>
          <w:tcPr>
            <w:tcW w:type="dxa" w:w="2232"/>
            <w:shd w:val="clear" w:color="auto" w:fill="FFFFFF"/>
          </w:tcPr>
          <w:p>
            <w:r>
              <w:rPr>
                <w:sz w:val="19"/>
              </w:rPr>
              <w:t>0.847</w:t>
            </w:r>
          </w:p>
        </w:tc>
        <w:tc>
          <w:tcPr>
            <w:tcW w:type="dxa" w:w="2232"/>
            <w:shd w:val="clear" w:color="auto" w:fill="FFFFFF"/>
          </w:tcPr>
          <w:p>
            <w:r>
              <w:rPr>
                <w:sz w:val="19"/>
              </w:rPr>
              <w:t>ΔAUC = −0.013 (acceptable). Baseline for fair comparison.</w:t>
            </w:r>
          </w:p>
        </w:tc>
      </w:tr>
      <w:tr>
        <w:tc>
          <w:tcPr>
            <w:tcW w:type="dxa" w:w="2232"/>
            <w:shd w:val="clear" w:color="auto" w:fill="F8FAFC"/>
          </w:tcPr>
          <w:p>
            <w:r>
              <w:rPr>
                <w:sz w:val="19"/>
              </w:rPr>
              <w:t>V3</w:t>
            </w:r>
          </w:p>
        </w:tc>
        <w:tc>
          <w:tcPr>
            <w:tcW w:type="dxa" w:w="2232"/>
            <w:shd w:val="clear" w:color="auto" w:fill="F8FAFC"/>
          </w:tcPr>
          <w:p>
            <w:r>
              <w:rPr>
                <w:sz w:val="19"/>
              </w:rPr>
              <w:t>RFECV on all sources (monthly + annual)</w:t>
            </w:r>
          </w:p>
        </w:tc>
        <w:tc>
          <w:tcPr>
            <w:tcW w:type="dxa" w:w="2232"/>
            <w:shd w:val="clear" w:color="auto" w:fill="F8FAFC"/>
          </w:tcPr>
          <w:p>
            <w:r>
              <w:rPr>
                <w:sz w:val="19"/>
              </w:rPr>
              <w:t>0.852</w:t>
            </w:r>
          </w:p>
        </w:tc>
        <w:tc>
          <w:tcPr>
            <w:tcW w:type="dxa" w:w="2232"/>
            <w:shd w:val="clear" w:color="auto" w:fill="F8FAFC"/>
          </w:tcPr>
          <w:p>
            <w:r>
              <w:rPr>
                <w:sz w:val="19"/>
              </w:rPr>
              <w:t>39 features selected. Annual features ranked #12–#27. Kept for comparison.</w:t>
            </w:r>
          </w:p>
        </w:tc>
      </w:tr>
      <w:tr>
        <w:tc>
          <w:tcPr>
            <w:tcW w:type="dxa" w:w="2232"/>
            <w:shd w:val="clear" w:color="auto" w:fill="FFFFFF"/>
          </w:tcPr>
          <w:p>
            <w:r>
              <w:rPr>
                <w:sz w:val="19"/>
              </w:rPr>
              <w:t>Monthly-Only ✓</w:t>
            </w:r>
          </w:p>
        </w:tc>
        <w:tc>
          <w:tcPr>
            <w:tcW w:type="dxa" w:w="2232"/>
            <w:shd w:val="clear" w:color="auto" w:fill="FFFFFF"/>
          </w:tcPr>
          <w:p>
            <w:r>
              <w:rPr>
                <w:sz w:val="19"/>
              </w:rPr>
              <w:t>RFECV on Zillow + Redfin only</w:t>
            </w:r>
          </w:p>
        </w:tc>
        <w:tc>
          <w:tcPr>
            <w:tcW w:type="dxa" w:w="2232"/>
            <w:shd w:val="clear" w:color="auto" w:fill="FFFFFF"/>
          </w:tcPr>
          <w:p>
            <w:r>
              <w:rPr>
                <w:sz w:val="19"/>
              </w:rPr>
              <w:t>0.865</w:t>
            </w:r>
          </w:p>
        </w:tc>
        <w:tc>
          <w:tcPr>
            <w:tcW w:type="dxa" w:w="2232"/>
            <w:shd w:val="clear" w:color="auto" w:fill="FFFFFF"/>
          </w:tcPr>
          <w:p>
            <w:r>
              <w:rPr>
                <w:sz w:val="19"/>
              </w:rPr>
              <w:t>18 features. Beats V3 on both AUC and F1. Selected as winner.</w:t>
            </w:r>
          </w:p>
        </w:tc>
      </w:tr>
    </w:tbl>
    <w:p/>
    <w:p>
      <w:pPr>
        <w:pStyle w:val="Heading2"/>
      </w:pPr>
      <w:r>
        <w:rPr>
          <w:color w:val="E63946"/>
          <w:sz w:val="26"/>
        </w:rPr>
        <w:t>RFECV Feature Selection</w:t>
      </w:r>
    </w:p>
    <w:p>
      <w:r>
        <w:rPr>
          <w:color w:val="212529"/>
          <w:sz w:val="21"/>
        </w:rPr>
        <w:t>Recursive Feature Elimination with Cross-Validation (RFECV) was used to identify the minimum feature set that preserves model performance. RFECV fits the model repeatedly, removing the least important feature each round, and uses cross-validation to measure whether AUC declined. It stops when further removal hurts performance.</w:t>
      </w:r>
    </w:p>
    <w:p/>
    <w:p>
      <w:pPr>
        <w:ind w:left="432" w:right="432"/>
        <w:shd w:val="clear" w:color="auto" w:fill="0D1B2A"/>
      </w:pPr>
      <w:r>
        <w:rPr>
          <w:b/>
          <w:color w:val="FFFFFF"/>
          <w:sz w:val="20"/>
        </w:rPr>
        <w:t xml:space="preserve">  DECISION: Apply RFECV separately to V3 and Monthly-Only candidate sets  </w:t>
      </w:r>
    </w:p>
    <w:p>
      <w:pPr>
        <w:ind w:left="432" w:right="432"/>
      </w:pPr>
      <w:r>
        <w:rPr>
          <w:b/>
          <w:sz w:val="20"/>
        </w:rPr>
        <w:t xml:space="preserve">Why: </w:t>
      </w:r>
      <w:r>
        <w:rPr>
          <w:sz w:val="20"/>
        </w:rPr>
        <w:t>RFECV on V3 (all sources) selected 39 features from 68 candidates. Running it again on Monthly-Only (51 candidates, no annual features) selected 18 features — and the resulting model scored higher. This demonstrates that the annual features were not just low-ranked but actively adding noise: removing them forced the algorithm to find better monthly substitutes.</w:t>
      </w:r>
    </w:p>
    <w:p>
      <w:pPr>
        <w:ind w:left="432" w:right="432"/>
      </w:pPr>
      <w:r>
        <w:rPr>
          <w:b/>
          <w:color w:val="E63946"/>
          <w:sz w:val="20"/>
        </w:rPr>
        <w:t xml:space="preserve">Implication: </w:t>
      </w:r>
      <w:r>
        <w:rPr>
          <w:sz w:val="20"/>
        </w:rPr>
        <w:t>The monthly-only model with 18 features outperforms the 39-feature all-sources model. Fewer features also means faster scoring, less risk of overfitting, and no annual data lag in production.</w:t>
      </w:r>
    </w:p>
    <w:p/>
    <w:p>
      <w:pPr>
        <w:pStyle w:val="Heading2"/>
      </w:pPr>
      <w:r>
        <w:rPr>
          <w:color w:val="E63946"/>
          <w:sz w:val="26"/>
        </w:rPr>
        <w:t>Model Performance — Final (Monthly-Only, Walk-Forward)</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2A"/>
          </w:tcPr>
          <w:p>
            <w:r>
              <w:rPr>
                <w:b/>
                <w:color w:val="FFFFFF"/>
                <w:sz w:val="19"/>
              </w:rPr>
              <w:t>Task</w:t>
            </w:r>
          </w:p>
        </w:tc>
        <w:tc>
          <w:tcPr>
            <w:tcW w:type="dxa" w:w="2232"/>
            <w:shd w:val="clear" w:color="auto" w:fill="0D1B2A"/>
          </w:tcPr>
          <w:p>
            <w:r>
              <w:rPr>
                <w:b/>
                <w:color w:val="FFFFFF"/>
                <w:sz w:val="19"/>
              </w:rPr>
              <w:t>Metric</w:t>
            </w:r>
          </w:p>
        </w:tc>
        <w:tc>
          <w:tcPr>
            <w:tcW w:type="dxa" w:w="2232"/>
            <w:shd w:val="clear" w:color="auto" w:fill="0D1B2A"/>
          </w:tcPr>
          <w:p>
            <w:r>
              <w:rPr>
                <w:b/>
                <w:color w:val="FFFFFF"/>
                <w:sz w:val="19"/>
              </w:rPr>
              <w:t>Score</w:t>
            </w:r>
          </w:p>
        </w:tc>
        <w:tc>
          <w:tcPr>
            <w:tcW w:type="dxa" w:w="2232"/>
            <w:shd w:val="clear" w:color="auto" w:fill="0D1B2A"/>
          </w:tcPr>
          <w:p>
            <w:r>
              <w:rPr>
                <w:b/>
                <w:color w:val="FFFFFF"/>
                <w:sz w:val="19"/>
              </w:rPr>
              <w:t>Interpretation</w:t>
            </w:r>
          </w:p>
        </w:tc>
      </w:tr>
      <w:tr>
        <w:tc>
          <w:tcPr>
            <w:tcW w:type="dxa" w:w="2232"/>
            <w:shd w:val="clear" w:color="auto" w:fill="F8FAFC"/>
          </w:tcPr>
          <w:p>
            <w:r>
              <w:rPr>
                <w:sz w:val="19"/>
              </w:rPr>
              <w:t>Binary — predict upward transition</w:t>
            </w:r>
          </w:p>
        </w:tc>
        <w:tc>
          <w:tcPr>
            <w:tcW w:type="dxa" w:w="2232"/>
            <w:shd w:val="clear" w:color="auto" w:fill="F8FAFC"/>
          </w:tcPr>
          <w:p>
            <w:r>
              <w:rPr>
                <w:sz w:val="19"/>
              </w:rPr>
              <w:t>AUC (Fold C, 2023)</w:t>
            </w:r>
          </w:p>
        </w:tc>
        <w:tc>
          <w:tcPr>
            <w:tcW w:type="dxa" w:w="2232"/>
            <w:shd w:val="clear" w:color="auto" w:fill="F8FAFC"/>
          </w:tcPr>
          <w:p>
            <w:r>
              <w:rPr>
                <w:sz w:val="19"/>
              </w:rPr>
              <w:t>0.865</w:t>
            </w:r>
          </w:p>
        </w:tc>
        <w:tc>
          <w:tcPr>
            <w:tcW w:type="dxa" w:w="2232"/>
            <w:shd w:val="clear" w:color="auto" w:fill="F8FAFC"/>
          </w:tcPr>
          <w:p>
            <w:r>
              <w:rPr>
                <w:sz w:val="19"/>
              </w:rPr>
              <w:t>Strong discrimination. Random classifier = 0.5; perfect = 1.0.</w:t>
            </w:r>
          </w:p>
        </w:tc>
      </w:tr>
      <w:tr>
        <w:tc>
          <w:tcPr>
            <w:tcW w:type="dxa" w:w="2232"/>
            <w:shd w:val="clear" w:color="auto" w:fill="FFFFFF"/>
          </w:tcPr>
          <w:p>
            <w:r>
              <w:rPr>
                <w:sz w:val="19"/>
              </w:rPr>
              <w:t>3-class — predict direction</w:t>
            </w:r>
          </w:p>
        </w:tc>
        <w:tc>
          <w:tcPr>
            <w:tcW w:type="dxa" w:w="2232"/>
            <w:shd w:val="clear" w:color="auto" w:fill="FFFFFF"/>
          </w:tcPr>
          <w:p>
            <w:r>
              <w:rPr>
                <w:sz w:val="19"/>
              </w:rPr>
              <w:t>Macro F1 (Fold C)</w:t>
            </w:r>
          </w:p>
        </w:tc>
        <w:tc>
          <w:tcPr>
            <w:tcW w:type="dxa" w:w="2232"/>
            <w:shd w:val="clear" w:color="auto" w:fill="FFFFFF"/>
          </w:tcPr>
          <w:p>
            <w:r>
              <w:rPr>
                <w:sz w:val="19"/>
              </w:rPr>
              <w:t>0.384</w:t>
            </w:r>
          </w:p>
        </w:tc>
        <w:tc>
          <w:tcPr>
            <w:tcW w:type="dxa" w:w="2232"/>
            <w:shd w:val="clear" w:color="auto" w:fill="FFFFFF"/>
          </w:tcPr>
          <w:p>
            <w:r>
              <w:rPr>
                <w:sz w:val="19"/>
              </w:rPr>
              <w:t>Moderate. The stable class is hardest to distinguish from the others.</w:t>
            </w:r>
          </w:p>
        </w:tc>
      </w:tr>
      <w:tr>
        <w:tc>
          <w:tcPr>
            <w:tcW w:type="dxa" w:w="2232"/>
            <w:shd w:val="clear" w:color="auto" w:fill="F8FAFC"/>
          </w:tcPr>
          <w:p>
            <w:r>
              <w:rPr>
                <w:sz w:val="19"/>
              </w:rPr>
              <w:t>3-class — predict direction</w:t>
            </w:r>
          </w:p>
        </w:tc>
        <w:tc>
          <w:tcPr>
            <w:tcW w:type="dxa" w:w="2232"/>
            <w:shd w:val="clear" w:color="auto" w:fill="F8FAFC"/>
          </w:tcPr>
          <w:p>
            <w:r>
              <w:rPr>
                <w:sz w:val="19"/>
              </w:rPr>
              <w:t>Macro F1 (Fold A)</w:t>
            </w:r>
          </w:p>
        </w:tc>
        <w:tc>
          <w:tcPr>
            <w:tcW w:type="dxa" w:w="2232"/>
            <w:shd w:val="clear" w:color="auto" w:fill="F8FAFC"/>
          </w:tcPr>
          <w:p>
            <w:r>
              <w:rPr>
                <w:sz w:val="19"/>
              </w:rPr>
              <w:t>0.551</w:t>
            </w:r>
          </w:p>
        </w:tc>
        <w:tc>
          <w:tcPr>
            <w:tcW w:type="dxa" w:w="2232"/>
            <w:shd w:val="clear" w:color="auto" w:fill="F8FAFC"/>
          </w:tcPr>
          <w:p>
            <w:r>
              <w:rPr>
                <w:sz w:val="19"/>
              </w:rPr>
              <w:t>Higher in 2021 COVID period when up/down signals were more extreme.</w:t>
            </w:r>
          </w:p>
        </w:tc>
      </w:tr>
    </w:tbl>
    <w:p/>
    <w:p>
      <w:r>
        <w:rPr>
          <w:color w:val="212529"/>
          <w:sz w:val="21"/>
        </w:rPr>
        <w:t>The lower Macro F1 on the 3-class task (compared to binary AUC) is expected. The 'stable' class is genuinely ambiguous — a ZIP with moderate signals could reasonably be classified as slightly up, stable, or slightly down. The binary model's AUC of 0.865 is the primary performance metric.</w:t>
      </w:r>
    </w:p>
    <w:p>
      <w:r>
        <w:br w:type="page"/>
      </w:r>
    </w:p>
    <w:p>
      <w:pPr>
        <w:pStyle w:val="Heading1"/>
      </w:pPr>
      <w:r>
        <w:rPr>
          <w:color w:val="0D1B2A"/>
          <w:sz w:val="36"/>
        </w:rPr>
        <w:t>9. Forward Predictions &amp; Retrospective Validation</w:t>
      </w:r>
    </w:p>
    <w:p>
      <w:r>
        <w:rPr>
          <w:color w:val="212529"/>
          <w:sz w:val="21"/>
        </w:rPr>
        <w:t>As of March 2026 the project has gone through a full cycle: predictions were made for 2024, the forward window (Jan–Dec 2025) elapsed, and actual 2025 outcomes became observable. The model was then retrained on the extended dataset and re-scored on November 2025 features to generate a new forward signal for Dec 2025–Nov 2026.</w:t>
      </w:r>
    </w:p>
    <w:p>
      <w:pPr>
        <w:pStyle w:val="Heading2"/>
      </w:pPr>
      <w:r>
        <w:rPr>
          <w:color w:val="E63946"/>
          <w:sz w:val="26"/>
        </w:rPr>
        <w:t>Retrospective Validation of 2024 Predictions</w:t>
      </w:r>
    </w:p>
    <w:p>
      <w:r>
        <w:rPr>
          <w:color w:val="212529"/>
          <w:sz w:val="21"/>
        </w:rPr>
        <w:t>The original model (trained Jun 2019–Dec 2022) generated predictions for all 2024 months. With Zillow data through January 2026 and Redfin data through November 2025, it was possible to compute the actual composite transition score for each ZIP's 12-month forward window and compare it against the model's predicted probability.</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Metric</w:t>
            </w:r>
          </w:p>
        </w:tc>
        <w:tc>
          <w:tcPr>
            <w:tcW w:type="dxa" w:w="2976"/>
            <w:shd w:val="clear" w:color="auto" w:fill="0D1B2A"/>
          </w:tcPr>
          <w:p>
            <w:r>
              <w:rPr>
                <w:b/>
                <w:color w:val="FFFFFF"/>
                <w:sz w:val="19"/>
              </w:rPr>
              <w:t>Value</w:t>
            </w:r>
          </w:p>
        </w:tc>
        <w:tc>
          <w:tcPr>
            <w:tcW w:type="dxa" w:w="2976"/>
            <w:shd w:val="clear" w:color="auto" w:fill="0D1B2A"/>
          </w:tcPr>
          <w:p>
            <w:r>
              <w:rPr>
                <w:b/>
                <w:color w:val="FFFFFF"/>
                <w:sz w:val="19"/>
              </w:rPr>
              <w:t>Notes</w:t>
            </w:r>
          </w:p>
        </w:tc>
      </w:tr>
      <w:tr>
        <w:tc>
          <w:tcPr>
            <w:tcW w:type="dxa" w:w="2976"/>
            <w:shd w:val="clear" w:color="auto" w:fill="F8FAFC"/>
          </w:tcPr>
          <w:p>
            <w:r>
              <w:rPr>
                <w:sz w:val="19"/>
              </w:rPr>
              <w:t>AUC — binary (up vs not-up)</w:t>
            </w:r>
          </w:p>
        </w:tc>
        <w:tc>
          <w:tcPr>
            <w:tcW w:type="dxa" w:w="2976"/>
            <w:shd w:val="clear" w:color="auto" w:fill="F8FAFC"/>
          </w:tcPr>
          <w:p>
            <w:r>
              <w:rPr>
                <w:sz w:val="19"/>
              </w:rPr>
              <w:t>0.7747</w:t>
            </w:r>
          </w:p>
        </w:tc>
        <w:tc>
          <w:tcPr>
            <w:tcW w:type="dxa" w:w="2976"/>
            <w:shd w:val="clear" w:color="auto" w:fill="F8FAFC"/>
          </w:tcPr>
          <w:p>
            <w:r>
              <w:rPr>
                <w:sz w:val="19"/>
              </w:rPr>
              <w:t>Solid out-of-distribution generalization</w:t>
            </w:r>
          </w:p>
        </w:tc>
      </w:tr>
      <w:tr>
        <w:tc>
          <w:tcPr>
            <w:tcW w:type="dxa" w:w="2976"/>
            <w:shd w:val="clear" w:color="auto" w:fill="FFFFFF"/>
          </w:tcPr>
          <w:p>
            <w:r>
              <w:rPr>
                <w:sz w:val="19"/>
              </w:rPr>
              <w:t>Accuracy</w:t>
            </w:r>
          </w:p>
        </w:tc>
        <w:tc>
          <w:tcPr>
            <w:tcW w:type="dxa" w:w="2976"/>
            <w:shd w:val="clear" w:color="auto" w:fill="FFFFFF"/>
          </w:tcPr>
          <w:p>
            <w:r>
              <w:rPr>
                <w:sz w:val="19"/>
              </w:rPr>
              <w:t>0.778</w:t>
            </w:r>
          </w:p>
        </w:tc>
        <w:tc>
          <w:tcPr>
            <w:tcW w:type="dxa" w:w="2976"/>
            <w:shd w:val="clear" w:color="auto" w:fill="FFFFFF"/>
          </w:tcPr>
          <w:p>
            <w:r>
              <w:rPr>
                <w:sz w:val="19"/>
              </w:rPr>
              <w:t>75% class imbalance baseline = 0.75</w:t>
            </w:r>
          </w:p>
        </w:tc>
      </w:tr>
      <w:tr>
        <w:tc>
          <w:tcPr>
            <w:tcW w:type="dxa" w:w="2976"/>
            <w:shd w:val="clear" w:color="auto" w:fill="F8FAFC"/>
          </w:tcPr>
          <w:p>
            <w:r>
              <w:rPr>
                <w:sz w:val="19"/>
              </w:rPr>
              <w:t>F1 — binary (up class)</w:t>
            </w:r>
          </w:p>
        </w:tc>
        <w:tc>
          <w:tcPr>
            <w:tcW w:type="dxa" w:w="2976"/>
            <w:shd w:val="clear" w:color="auto" w:fill="F8FAFC"/>
          </w:tcPr>
          <w:p>
            <w:r>
              <w:rPr>
                <w:sz w:val="19"/>
              </w:rPr>
              <w:t>0.489</w:t>
            </w:r>
          </w:p>
        </w:tc>
        <w:tc>
          <w:tcPr>
            <w:tcW w:type="dxa" w:w="2976"/>
            <w:shd w:val="clear" w:color="auto" w:fill="F8FAFC"/>
          </w:tcPr>
          <w:p>
            <w:r>
              <w:rPr>
                <w:sz w:val="19"/>
              </w:rPr>
              <w:t>Precision 0.57, Recall 0.42</w:t>
            </w:r>
          </w:p>
        </w:tc>
      </w:tr>
      <w:tr>
        <w:tc>
          <w:tcPr>
            <w:tcW w:type="dxa" w:w="2976"/>
            <w:shd w:val="clear" w:color="auto" w:fill="FFFFFF"/>
          </w:tcPr>
          <w:p>
            <w:r>
              <w:rPr>
                <w:sz w:val="19"/>
              </w:rPr>
              <w:t>Multi-class Macro F1</w:t>
            </w:r>
          </w:p>
        </w:tc>
        <w:tc>
          <w:tcPr>
            <w:tcW w:type="dxa" w:w="2976"/>
            <w:shd w:val="clear" w:color="auto" w:fill="FFFFFF"/>
          </w:tcPr>
          <w:p>
            <w:r>
              <w:rPr>
                <w:sz w:val="19"/>
              </w:rPr>
              <w:t>0.409</w:t>
            </w:r>
          </w:p>
        </w:tc>
        <w:tc>
          <w:tcPr>
            <w:tcW w:type="dxa" w:w="2976"/>
            <w:shd w:val="clear" w:color="auto" w:fill="FFFFFF"/>
          </w:tcPr>
          <w:p>
            <w:r>
              <w:rPr>
                <w:sz w:val="19"/>
              </w:rPr>
              <w:t>Down class has very low recall (5%) — model conservative about calling cooling</w:t>
            </w:r>
          </w:p>
        </w:tc>
      </w:tr>
      <w:tr>
        <w:tc>
          <w:tcPr>
            <w:tcW w:type="dxa" w:w="2976"/>
            <w:shd w:val="clear" w:color="auto" w:fill="F8FAFC"/>
          </w:tcPr>
          <w:p>
            <w:r>
              <w:rPr>
                <w:sz w:val="19"/>
              </w:rPr>
              <w:t>Best cluster — moderate_supply_growing</w:t>
            </w:r>
          </w:p>
        </w:tc>
        <w:tc>
          <w:tcPr>
            <w:tcW w:type="dxa" w:w="2976"/>
            <w:shd w:val="clear" w:color="auto" w:fill="F8FAFC"/>
          </w:tcPr>
          <w:p>
            <w:r>
              <w:rPr>
                <w:sz w:val="19"/>
              </w:rPr>
              <w:t>AUC 0.822</w:t>
            </w:r>
          </w:p>
        </w:tc>
        <w:tc>
          <w:tcPr>
            <w:tcW w:type="dxa" w:w="2976"/>
            <w:shd w:val="clear" w:color="auto" w:fill="F8FAFC"/>
          </w:tcPr>
          <w:p>
            <w:r>
              <w:rPr>
                <w:sz w:val="19"/>
              </w:rPr>
              <w:t>Supply-side signals most predictable</w:t>
            </w:r>
          </w:p>
        </w:tc>
      </w:tr>
      <w:tr>
        <w:tc>
          <w:tcPr>
            <w:tcW w:type="dxa" w:w="2976"/>
            <w:shd w:val="clear" w:color="auto" w:fill="FFFFFF"/>
          </w:tcPr>
          <w:p>
            <w:r>
              <w:rPr>
                <w:sz w:val="19"/>
              </w:rPr>
              <w:t>Weakest cluster — competitive_mid_market</w:t>
            </w:r>
          </w:p>
        </w:tc>
        <w:tc>
          <w:tcPr>
            <w:tcW w:type="dxa" w:w="2976"/>
            <w:shd w:val="clear" w:color="auto" w:fill="FFFFFF"/>
          </w:tcPr>
          <w:p>
            <w:r>
              <w:rPr>
                <w:sz w:val="19"/>
              </w:rPr>
              <w:t>AUC 0.717</w:t>
            </w:r>
          </w:p>
        </w:tc>
        <w:tc>
          <w:tcPr>
            <w:tcW w:type="dxa" w:w="2976"/>
            <w:shd w:val="clear" w:color="auto" w:fill="FFFFFF"/>
          </w:tcPr>
          <w:p>
            <w:r>
              <w:rPr>
                <w:sz w:val="19"/>
              </w:rPr>
              <w:t>Mid-market harder to call</w:t>
            </w:r>
          </w:p>
        </w:tc>
      </w:tr>
    </w:tbl>
    <w:p/>
    <w:p>
      <w:r>
        <w:rPr>
          <w:color w:val="212529"/>
          <w:sz w:val="21"/>
        </w:rPr>
        <w:t>The ~9-point AUC drop from the 2023 held-out test (0.865) is expected: 2024–2025 represents a post-rate-hike stabilization regime the model was never trained on. AUC 0.7747 still represents meaningful predictive signal well above random (0.5).</w:t>
      </w:r>
    </w:p>
    <w:p>
      <w:pPr>
        <w:pStyle w:val="Heading2"/>
      </w:pPr>
      <w:r>
        <w:rPr>
          <w:color w:val="E63946"/>
          <w:sz w:val="26"/>
        </w:rPr>
        <w:t>Retrained Model — 2025 Forward Signal</w:t>
      </w:r>
    </w:p>
    <w:p>
      <w:r>
        <w:rPr>
          <w:color w:val="212529"/>
          <w:sz w:val="21"/>
        </w:rPr>
        <w:t>The model was retrained on Jun 2019–Dec 2024 (43,617 labeled rows) incorporating the validated 2024 transition labels. It was then scored against November 2025 Zillow and Redfin features to produce the current forward signal.</w:t>
      </w:r>
    </w:p>
    <w:tbl>
      <w:tblPr>
        <w:tblStyle w:val="TableGrid"/>
        <w:tblW w:type="auto" w:w="0"/>
        <w:tblLook w:firstColumn="1" w:firstRow="1" w:lastColumn="0" w:lastRow="0" w:noHBand="0" w:noVBand="1" w:val="04A0"/>
      </w:tblPr>
      <w:tblGrid>
        <w:gridCol w:w="4464"/>
        <w:gridCol w:w="4464"/>
      </w:tblGrid>
      <w:tr>
        <w:tc>
          <w:tcPr>
            <w:tcW w:type="dxa" w:w="4464"/>
            <w:shd w:val="clear" w:color="auto" w:fill="0D1B2A"/>
          </w:tcPr>
          <w:p>
            <w:r>
              <w:rPr>
                <w:b/>
                <w:color w:val="FFFFFF"/>
                <w:sz w:val="19"/>
              </w:rPr>
              <w:t>Item</w:t>
            </w:r>
          </w:p>
        </w:tc>
        <w:tc>
          <w:tcPr>
            <w:tcW w:type="dxa" w:w="4464"/>
            <w:shd w:val="clear" w:color="auto" w:fill="0D1B2A"/>
          </w:tcPr>
          <w:p>
            <w:r>
              <w:rPr>
                <w:b/>
                <w:color w:val="FFFFFF"/>
                <w:sz w:val="19"/>
              </w:rPr>
              <w:t>Value</w:t>
            </w:r>
          </w:p>
        </w:tc>
      </w:tr>
      <w:tr>
        <w:tc>
          <w:tcPr>
            <w:tcW w:type="dxa" w:w="4464"/>
            <w:shd w:val="clear" w:color="auto" w:fill="F8FAFC"/>
          </w:tcPr>
          <w:p>
            <w:r>
              <w:rPr>
                <w:sz w:val="19"/>
              </w:rPr>
              <w:t>Training range</w:t>
            </w:r>
          </w:p>
        </w:tc>
        <w:tc>
          <w:tcPr>
            <w:tcW w:type="dxa" w:w="4464"/>
            <w:shd w:val="clear" w:color="auto" w:fill="F8FAFC"/>
          </w:tcPr>
          <w:p>
            <w:r>
              <w:rPr>
                <w:sz w:val="19"/>
              </w:rPr>
              <w:t>Jun 2019 – Dec 2024</w:t>
            </w:r>
          </w:p>
        </w:tc>
      </w:tr>
      <w:tr>
        <w:tc>
          <w:tcPr>
            <w:tcW w:type="dxa" w:w="4464"/>
            <w:shd w:val="clear" w:color="auto" w:fill="FFFFFF"/>
          </w:tcPr>
          <w:p>
            <w:r>
              <w:rPr>
                <w:sz w:val="19"/>
              </w:rPr>
              <w:t>Fold D AUC (test 2024)</w:t>
            </w:r>
          </w:p>
        </w:tc>
        <w:tc>
          <w:tcPr>
            <w:tcW w:type="dxa" w:w="4464"/>
            <w:shd w:val="clear" w:color="auto" w:fill="FFFFFF"/>
          </w:tcPr>
          <w:p>
            <w:r>
              <w:rPr>
                <w:sz w:val="19"/>
              </w:rPr>
              <w:t>0.7240</w:t>
            </w:r>
          </w:p>
        </w:tc>
      </w:tr>
      <w:tr>
        <w:tc>
          <w:tcPr>
            <w:tcW w:type="dxa" w:w="4464"/>
            <w:shd w:val="clear" w:color="auto" w:fill="F8FAFC"/>
          </w:tcPr>
          <w:p>
            <w:r>
              <w:rPr>
                <w:sz w:val="19"/>
              </w:rPr>
              <w:t>Feature point</w:t>
            </w:r>
          </w:p>
        </w:tc>
        <w:tc>
          <w:tcPr>
            <w:tcW w:type="dxa" w:w="4464"/>
            <w:shd w:val="clear" w:color="auto" w:fill="F8FAFC"/>
          </w:tcPr>
          <w:p>
            <w:r>
              <w:rPr>
                <w:sz w:val="19"/>
              </w:rPr>
              <w:t>November 2025</w:t>
            </w:r>
          </w:p>
        </w:tc>
      </w:tr>
      <w:tr>
        <w:tc>
          <w:tcPr>
            <w:tcW w:type="dxa" w:w="4464"/>
            <w:shd w:val="clear" w:color="auto" w:fill="FFFFFF"/>
          </w:tcPr>
          <w:p>
            <w:r>
              <w:rPr>
                <w:sz w:val="19"/>
              </w:rPr>
              <w:t>Forward window</w:t>
            </w:r>
          </w:p>
        </w:tc>
        <w:tc>
          <w:tcPr>
            <w:tcW w:type="dxa" w:w="4464"/>
            <w:shd w:val="clear" w:color="auto" w:fill="FFFFFF"/>
          </w:tcPr>
          <w:p>
            <w:r>
              <w:rPr>
                <w:sz w:val="19"/>
              </w:rPr>
              <w:t>December 2025 – November 2026</w:t>
            </w:r>
          </w:p>
        </w:tc>
      </w:tr>
      <w:tr>
        <w:tc>
          <w:tcPr>
            <w:tcW w:type="dxa" w:w="4464"/>
            <w:shd w:val="clear" w:color="auto" w:fill="F8FAFC"/>
          </w:tcPr>
          <w:p>
            <w:r>
              <w:rPr>
                <w:sz w:val="19"/>
              </w:rPr>
              <w:t>ZIPs scored</w:t>
            </w:r>
          </w:p>
        </w:tc>
        <w:tc>
          <w:tcPr>
            <w:tcW w:type="dxa" w:w="4464"/>
            <w:shd w:val="clear" w:color="auto" w:fill="F8FAFC"/>
          </w:tcPr>
          <w:p>
            <w:r>
              <w:rPr>
                <w:sz w:val="19"/>
              </w:rPr>
              <w:t>650 (5 have Nov 2025 data gaps)</w:t>
            </w:r>
          </w:p>
        </w:tc>
      </w:tr>
      <w:tr>
        <w:tc>
          <w:tcPr>
            <w:tcW w:type="dxa" w:w="4464"/>
            <w:shd w:val="clear" w:color="auto" w:fill="FFFFFF"/>
          </w:tcPr>
          <w:p>
            <w:r>
              <w:rPr>
                <w:sz w:val="19"/>
              </w:rPr>
              <w:t>Avg opportunity score</w:t>
            </w:r>
          </w:p>
        </w:tc>
        <w:tc>
          <w:tcPr>
            <w:tcW w:type="dxa" w:w="4464"/>
            <w:shd w:val="clear" w:color="auto" w:fill="FFFFFF"/>
          </w:tcPr>
          <w:p>
            <w:r>
              <w:rPr>
                <w:sz w:val="19"/>
              </w:rPr>
              <w:t>0.183 (lower than 2024 — model calibrated to post-hike market)</w:t>
            </w:r>
          </w:p>
        </w:tc>
      </w:tr>
      <w:tr>
        <w:tc>
          <w:tcPr>
            <w:tcW w:type="dxa" w:w="4464"/>
            <w:shd w:val="clear" w:color="auto" w:fill="F8FAFC"/>
          </w:tcPr>
          <w:p>
            <w:r>
              <w:rPr>
                <w:sz w:val="19"/>
              </w:rPr>
              <w:t>Verifiable</w:t>
            </w:r>
          </w:p>
        </w:tc>
        <w:tc>
          <w:tcPr>
            <w:tcW w:type="dxa" w:w="4464"/>
            <w:shd w:val="clear" w:color="auto" w:fill="F8FAFC"/>
          </w:tcPr>
          <w:p>
            <w:r>
              <w:rPr>
                <w:sz w:val="19"/>
              </w:rPr>
              <w:t>Not until late 2026</w:t>
            </w:r>
          </w:p>
        </w:tc>
      </w:tr>
    </w:tbl>
    <w:p/>
    <w:p/>
    <w:p>
      <w:pPr>
        <w:ind w:left="432" w:right="432"/>
        <w:shd w:val="clear" w:color="auto" w:fill="0D1B2A"/>
      </w:pPr>
      <w:r>
        <w:rPr>
          <w:b/>
          <w:color w:val="FFFFFF"/>
          <w:sz w:val="20"/>
        </w:rPr>
        <w:t xml:space="preserve">  DECISION: Retrain on extended data rather than keeping the original model  </w:t>
      </w:r>
    </w:p>
    <w:p>
      <w:pPr>
        <w:ind w:left="432" w:right="432"/>
      </w:pPr>
      <w:r>
        <w:rPr>
          <w:b/>
          <w:sz w:val="20"/>
        </w:rPr>
        <w:t xml:space="preserve">Why: </w:t>
      </w:r>
      <w:r>
        <w:rPr>
          <w:sz w:val="20"/>
        </w:rPr>
        <w:t>The original model was trained only through 2022. By 2025 it had never seen the 2023 post-correction stabilization or 2024 dynamics. Retraining on Jun 2019–Dec 2024 gives the model exposure to two additional years of market behavior including the rate-hike aftermath, improving its calibration for current conditions.</w:t>
      </w:r>
    </w:p>
    <w:p>
      <w:pPr>
        <w:ind w:left="432" w:right="432"/>
      </w:pPr>
      <w:r>
        <w:rPr>
          <w:b/>
          <w:color w:val="E63946"/>
          <w:sz w:val="20"/>
        </w:rPr>
        <w:t xml:space="preserve">Implication: </w:t>
      </w:r>
      <w:r>
        <w:rPr>
          <w:sz w:val="20"/>
        </w:rPr>
        <w:t>The retrained model powers the 2025 Signal page in the app. The original Fold C model is still available in the Validated Map page (2023 held-out results).</w:t>
      </w:r>
    </w:p>
    <w:p/>
    <w:p>
      <w:r>
        <w:br w:type="page"/>
      </w:r>
    </w:p>
    <w:p>
      <w:pPr>
        <w:pStyle w:val="Heading1"/>
      </w:pPr>
      <w:r>
        <w:rPr>
          <w:color w:val="0D1B2A"/>
          <w:sz w:val="36"/>
        </w:rPr>
        <w:t>10. The Streamlit App</w:t>
      </w:r>
    </w:p>
    <w:p>
      <w:r>
        <w:rPr>
          <w:color w:val="212529"/>
          <w:sz w:val="21"/>
        </w:rPr>
        <w:t>The app has two modes: Investor (default, 5 pages) and Educator (adds 3 methodology pages). Toggle between them with the mode switcher in the sidebar.</w:t>
      </w:r>
    </w:p>
    <w:p>
      <w:pPr>
        <w:pStyle w:val="Heading2"/>
      </w:pPr>
      <w:r>
        <w:rPr>
          <w:color w:val="E63946"/>
          <w:sz w:val="26"/>
        </w:rPr>
        <w:t>Investor Pages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Page</w:t>
            </w:r>
          </w:p>
        </w:tc>
        <w:tc>
          <w:tcPr>
            <w:tcW w:type="dxa" w:w="2976"/>
            <w:shd w:val="clear" w:color="auto" w:fill="0D1B2A"/>
          </w:tcPr>
          <w:p>
            <w:r>
              <w:rPr>
                <w:b/>
                <w:color w:val="FFFFFF"/>
                <w:sz w:val="19"/>
              </w:rPr>
              <w:t>What it shows</w:t>
            </w:r>
          </w:p>
        </w:tc>
        <w:tc>
          <w:tcPr>
            <w:tcW w:type="dxa" w:w="2976"/>
            <w:shd w:val="clear" w:color="auto" w:fill="0D1B2A"/>
          </w:tcPr>
          <w:p>
            <w:r>
              <w:rPr>
                <w:b/>
                <w:color w:val="FFFFFF"/>
                <w:sz w:val="19"/>
              </w:rPr>
              <w:t>When to use it</w:t>
            </w:r>
          </w:p>
        </w:tc>
      </w:tr>
      <w:tr>
        <w:tc>
          <w:tcPr>
            <w:tcW w:type="dxa" w:w="2976"/>
            <w:shd w:val="clear" w:color="auto" w:fill="F8FAFC"/>
          </w:tcPr>
          <w:p>
            <w:r>
              <w:rPr>
                <w:sz w:val="19"/>
              </w:rPr>
              <w:t>Home</w:t>
            </w:r>
          </w:p>
        </w:tc>
        <w:tc>
          <w:tcPr>
            <w:tcW w:type="dxa" w:w="2976"/>
            <w:shd w:val="clear" w:color="auto" w:fill="F8FAFC"/>
          </w:tcPr>
          <w:p>
            <w:r>
              <w:rPr>
                <w:sz w:val="19"/>
              </w:rPr>
              <w:t>Project overview, methodology summary, navigation guide</w:t>
            </w:r>
          </w:p>
        </w:tc>
        <w:tc>
          <w:tcPr>
            <w:tcW w:type="dxa" w:w="2976"/>
            <w:shd w:val="clear" w:color="auto" w:fill="F8FAFC"/>
          </w:tcPr>
          <w:p>
            <w:r>
              <w:rPr>
                <w:sz w:val="19"/>
              </w:rPr>
              <w:t>Start here — understand the framing before diving into maps</w:t>
            </w:r>
          </w:p>
        </w:tc>
      </w:tr>
      <w:tr>
        <w:tc>
          <w:tcPr>
            <w:tcW w:type="dxa" w:w="2976"/>
            <w:shd w:val="clear" w:color="auto" w:fill="FFFFFF"/>
          </w:tcPr>
          <w:p>
            <w:r>
              <w:rPr>
                <w:sz w:val="19"/>
              </w:rPr>
              <w:t>2025 Signal</w:t>
            </w:r>
          </w:p>
        </w:tc>
        <w:tc>
          <w:tcPr>
            <w:tcW w:type="dxa" w:w="2976"/>
            <w:shd w:val="clear" w:color="auto" w:fill="FFFFFF"/>
          </w:tcPr>
          <w:p>
            <w:r>
              <w:rPr>
                <w:sz w:val="19"/>
              </w:rPr>
              <w:t>Forward-looking choropleth map for Dec 2025–Nov 2026 — retrained model on Nov 2025 features.</w:t>
            </w:r>
          </w:p>
        </w:tc>
        <w:tc>
          <w:tcPr>
            <w:tcW w:type="dxa" w:w="2976"/>
            <w:shd w:val="clear" w:color="auto" w:fill="FFFFFF"/>
          </w:tcPr>
          <w:p>
            <w:r>
              <w:rPr>
                <w:sz w:val="19"/>
              </w:rPr>
              <w:t>Prospecting — identify ZIPs to research further</w:t>
            </w:r>
          </w:p>
        </w:tc>
      </w:tr>
      <w:tr>
        <w:tc>
          <w:tcPr>
            <w:tcW w:type="dxa" w:w="2976"/>
            <w:shd w:val="clear" w:color="auto" w:fill="F8FAFC"/>
          </w:tcPr>
          <w:p>
            <w:r>
              <w:rPr>
                <w:sz w:val="19"/>
              </w:rPr>
              <w:t>Archetypes</w:t>
            </w:r>
          </w:p>
        </w:tc>
        <w:tc>
          <w:tcPr>
            <w:tcW w:type="dxa" w:w="2976"/>
            <w:shd w:val="clear" w:color="auto" w:fill="F8FAFC"/>
          </w:tcPr>
          <w:p>
            <w:r>
              <w:rPr>
                <w:sz w:val="19"/>
              </w:rPr>
              <w:t>Map colored by cluster archetype. Profile cards with opportunity score progress bar.</w:t>
            </w:r>
          </w:p>
        </w:tc>
        <w:tc>
          <w:tcPr>
            <w:tcW w:type="dxa" w:w="2976"/>
            <w:shd w:val="clear" w:color="auto" w:fill="F8FAFC"/>
          </w:tcPr>
          <w:p>
            <w:r>
              <w:rPr>
                <w:sz w:val="19"/>
              </w:rPr>
              <w:t>Understand the structural character of a market before reading its prediction</w:t>
            </w:r>
          </w:p>
        </w:tc>
      </w:tr>
      <w:tr>
        <w:tc>
          <w:tcPr>
            <w:tcW w:type="dxa" w:w="2976"/>
            <w:shd w:val="clear" w:color="auto" w:fill="FFFFFF"/>
          </w:tcPr>
          <w:p>
            <w:r>
              <w:rPr>
                <w:sz w:val="19"/>
              </w:rPr>
              <w:t>Compare</w:t>
            </w:r>
          </w:p>
        </w:tc>
        <w:tc>
          <w:tcPr>
            <w:tcW w:type="dxa" w:w="2976"/>
            <w:shd w:val="clear" w:color="auto" w:fill="FFFFFF"/>
          </w:tcPr>
          <w:p>
            <w:r>
              <w:rPr>
                <w:sz w:val="19"/>
              </w:rPr>
              <w:t>Side-by-side 2–4 ZIP comparison: opportunity score, net direction, SHAP drivers, summary table</w:t>
            </w:r>
          </w:p>
        </w:tc>
        <w:tc>
          <w:tcPr>
            <w:tcW w:type="dxa" w:w="2976"/>
            <w:shd w:val="clear" w:color="auto" w:fill="FFFFFF"/>
          </w:tcPr>
          <w:p>
            <w:r>
              <w:rPr>
                <w:sz w:val="19"/>
              </w:rPr>
              <w:t>Narrow down from a shortlist — compare specific candidates head-to-head</w:t>
            </w:r>
          </w:p>
        </w:tc>
      </w:tr>
      <w:tr>
        <w:tc>
          <w:tcPr>
            <w:tcW w:type="dxa" w:w="2976"/>
            <w:shd w:val="clear" w:color="auto" w:fill="F8FAFC"/>
          </w:tcPr>
          <w:p>
            <w:r>
              <w:rPr>
                <w:sz w:val="19"/>
              </w:rPr>
              <w:t>Deep Dive</w:t>
            </w:r>
          </w:p>
        </w:tc>
        <w:tc>
          <w:tcPr>
            <w:tcW w:type="dxa" w:w="2976"/>
            <w:shd w:val="clear" w:color="auto" w:fill="F8FAFC"/>
          </w:tcPr>
          <w:p>
            <w:r>
              <w:rPr>
                <w:sz w:val="19"/>
              </w:rPr>
              <w:t>Single ZIP: monthly opportunity score over time, key feature trends vs. cluster average, SHAP waterfall by month</w:t>
            </w:r>
          </w:p>
        </w:tc>
        <w:tc>
          <w:tcPr>
            <w:tcW w:type="dxa" w:w="2976"/>
            <w:shd w:val="clear" w:color="auto" w:fill="F8FAFC"/>
          </w:tcPr>
          <w:p>
            <w:r>
              <w:rPr>
                <w:sz w:val="19"/>
              </w:rPr>
              <w:t>Deep analysis of one ZIP — understand why the model scored it and how it evolved</w:t>
            </w:r>
          </w:p>
        </w:tc>
      </w:tr>
    </w:tbl>
    <w:p/>
    <w:p>
      <w:pPr>
        <w:pStyle w:val="Heading2"/>
      </w:pPr>
      <w:r>
        <w:rPr>
          <w:color w:val="E63946"/>
          <w:sz w:val="26"/>
        </w:rPr>
        <w:t>Educator Pages (toggle Educator mode in sidebar)</w:t>
      </w:r>
    </w:p>
    <w:tbl>
      <w:tblPr>
        <w:tblStyle w:val="TableGrid"/>
        <w:tblW w:type="auto" w:w="0"/>
        <w:tblLook w:firstColumn="1" w:firstRow="1" w:lastColumn="0" w:lastRow="0" w:noHBand="0" w:noVBand="1" w:val="04A0"/>
      </w:tblPr>
      <w:tblGrid>
        <w:gridCol w:w="4464"/>
        <w:gridCol w:w="4464"/>
      </w:tblGrid>
      <w:tr>
        <w:tc>
          <w:tcPr>
            <w:tcW w:type="dxa" w:w="4464"/>
            <w:shd w:val="clear" w:color="auto" w:fill="0D1B2A"/>
          </w:tcPr>
          <w:p>
            <w:r>
              <w:rPr>
                <w:b/>
                <w:color w:val="FFFFFF"/>
                <w:sz w:val="19"/>
              </w:rPr>
              <w:t>Page</w:t>
            </w:r>
          </w:p>
        </w:tc>
        <w:tc>
          <w:tcPr>
            <w:tcW w:type="dxa" w:w="4464"/>
            <w:shd w:val="clear" w:color="auto" w:fill="0D1B2A"/>
          </w:tcPr>
          <w:p>
            <w:r>
              <w:rPr>
                <w:b/>
                <w:color w:val="FFFFFF"/>
                <w:sz w:val="19"/>
              </w:rPr>
              <w:t>What it shows</w:t>
            </w:r>
          </w:p>
        </w:tc>
      </w:tr>
      <w:tr>
        <w:tc>
          <w:tcPr>
            <w:tcW w:type="dxa" w:w="4464"/>
            <w:shd w:val="clear" w:color="auto" w:fill="F8FAFC"/>
          </w:tcPr>
          <w:p>
            <w:r>
              <w:rPr>
                <w:sz w:val="19"/>
              </w:rPr>
              <w:t>Validated Map</w:t>
            </w:r>
          </w:p>
        </w:tc>
        <w:tc>
          <w:tcPr>
            <w:tcW w:type="dxa" w:w="4464"/>
            <w:shd w:val="clear" w:color="auto" w:fill="F8FAFC"/>
          </w:tcPr>
          <w:p>
            <w:r>
              <w:rPr>
                <w:sz w:val="19"/>
              </w:rPr>
              <w:t>2023 test-set choropleth — same map as 2024 Signal but for validated data. Shows opportunity score or net direction.</w:t>
            </w:r>
          </w:p>
        </w:tc>
      </w:tr>
      <w:tr>
        <w:tc>
          <w:tcPr>
            <w:tcW w:type="dxa" w:w="4464"/>
            <w:shd w:val="clear" w:color="auto" w:fill="FFFFFF"/>
          </w:tcPr>
          <w:p>
            <w:r>
              <w:rPr>
                <w:sz w:val="19"/>
              </w:rPr>
              <w:t>Model Comparison</w:t>
            </w:r>
          </w:p>
        </w:tc>
        <w:tc>
          <w:tcPr>
            <w:tcW w:type="dxa" w:w="4464"/>
            <w:shd w:val="clear" w:color="auto" w:fill="FFFFFF"/>
          </w:tcPr>
          <w:p>
            <w:r>
              <w:rPr>
                <w:sz w:val="19"/>
              </w:rPr>
              <w:t>V3 (all sources) vs. Monthly-Only head-to-head: metrics, fold breakdown, side-by-side maps, feature lists.</w:t>
            </w:r>
          </w:p>
        </w:tc>
      </w:tr>
      <w:tr>
        <w:tc>
          <w:tcPr>
            <w:tcW w:type="dxa" w:w="4464"/>
            <w:shd w:val="clear" w:color="auto" w:fill="F8FAFC"/>
          </w:tcPr>
          <w:p>
            <w:r>
              <w:rPr>
                <w:sz w:val="19"/>
              </w:rPr>
              <w:t>Performance</w:t>
            </w:r>
          </w:p>
        </w:tc>
        <w:tc>
          <w:tcPr>
            <w:tcW w:type="dxa" w:w="4464"/>
            <w:shd w:val="clear" w:color="auto" w:fill="F8FAFC"/>
          </w:tcPr>
          <w:p>
            <w:r>
              <w:rPr>
                <w:sz w:val="19"/>
              </w:rPr>
              <w:t>Walk-forward fold metrics, version history table (V1→V2→V3→Monthly-Only), top-15 features by mean |SHAP| importance.</w:t>
            </w:r>
          </w:p>
        </w:tc>
      </w:tr>
    </w:tbl>
    <w:p/>
    <w:p>
      <w:pPr>
        <w:pStyle w:val="Heading2"/>
      </w:pPr>
      <w:r>
        <w:rPr>
          <w:color w:val="E63946"/>
          <w:sz w:val="26"/>
        </w:rPr>
        <w:t>Sidebar Controls</w:t>
      </w:r>
    </w:p>
    <w:tbl>
      <w:tblPr>
        <w:tblStyle w:val="TableGrid"/>
        <w:tblW w:type="auto" w:w="0"/>
        <w:tblLook w:firstColumn="1" w:firstRow="1" w:lastColumn="0" w:lastRow="0" w:noHBand="0" w:noVBand="1" w:val="04A0"/>
      </w:tblPr>
      <w:tblGrid>
        <w:gridCol w:w="4464"/>
        <w:gridCol w:w="4464"/>
      </w:tblGrid>
      <w:tr>
        <w:tc>
          <w:tcPr>
            <w:tcW w:type="dxa" w:w="4464"/>
            <w:shd w:val="clear" w:color="auto" w:fill="0D1B2A"/>
          </w:tcPr>
          <w:p>
            <w:r>
              <w:rPr>
                <w:b/>
                <w:color w:val="FFFFFF"/>
                <w:sz w:val="19"/>
              </w:rPr>
              <w:t>Control</w:t>
            </w:r>
          </w:p>
        </w:tc>
        <w:tc>
          <w:tcPr>
            <w:tcW w:type="dxa" w:w="4464"/>
            <w:shd w:val="clear" w:color="auto" w:fill="0D1B2A"/>
          </w:tcPr>
          <w:p>
            <w:r>
              <w:rPr>
                <w:b/>
                <w:color w:val="FFFFFF"/>
                <w:sz w:val="19"/>
              </w:rPr>
              <w:t>Effect</w:t>
            </w:r>
          </w:p>
        </w:tc>
      </w:tr>
      <w:tr>
        <w:tc>
          <w:tcPr>
            <w:tcW w:type="dxa" w:w="4464"/>
            <w:shd w:val="clear" w:color="auto" w:fill="F8FAFC"/>
          </w:tcPr>
          <w:p>
            <w:r>
              <w:rPr>
                <w:sz w:val="19"/>
              </w:rPr>
              <w:t>Investor / Educator mode</w:t>
            </w:r>
          </w:p>
        </w:tc>
        <w:tc>
          <w:tcPr>
            <w:tcW w:type="dxa" w:w="4464"/>
            <w:shd w:val="clear" w:color="auto" w:fill="F8FAFC"/>
          </w:tcPr>
          <w:p>
            <w:r>
              <w:rPr>
                <w:sz w:val="19"/>
              </w:rPr>
              <w:t>Shows or hides the 3 methodology pages in the top navigation</w:t>
            </w:r>
          </w:p>
        </w:tc>
      </w:tr>
      <w:tr>
        <w:tc>
          <w:tcPr>
            <w:tcW w:type="dxa" w:w="4464"/>
            <w:shd w:val="clear" w:color="auto" w:fill="FFFFFF"/>
          </w:tcPr>
          <w:p>
            <w:r>
              <w:rPr>
                <w:sz w:val="19"/>
              </w:rPr>
              <w:t>State filter</w:t>
            </w:r>
          </w:p>
        </w:tc>
        <w:tc>
          <w:tcPr>
            <w:tcW w:type="dxa" w:w="4464"/>
            <w:shd w:val="clear" w:color="auto" w:fill="FFFFFF"/>
          </w:tcPr>
          <w:p>
            <w:r>
              <w:rPr>
                <w:sz w:val="19"/>
              </w:rPr>
              <w:t>Filter all maps and tables to NC only, SC only, or both</w:t>
            </w:r>
          </w:p>
        </w:tc>
      </w:tr>
      <w:tr>
        <w:tc>
          <w:tcPr>
            <w:tcW w:type="dxa" w:w="4464"/>
            <w:shd w:val="clear" w:color="auto" w:fill="F8FAFC"/>
          </w:tcPr>
          <w:p>
            <w:r>
              <w:rPr>
                <w:sz w:val="19"/>
              </w:rPr>
              <w:t>Cluster archetype filter</w:t>
            </w:r>
          </w:p>
        </w:tc>
        <w:tc>
          <w:tcPr>
            <w:tcW w:type="dxa" w:w="4464"/>
            <w:shd w:val="clear" w:color="auto" w:fill="F8FAFC"/>
          </w:tcPr>
          <w:p>
            <w:r>
              <w:rPr>
                <w:sz w:val="19"/>
              </w:rPr>
              <w:t>Limit the map and tables to specific cluster types</w:t>
            </w:r>
          </w:p>
        </w:tc>
      </w:tr>
      <w:tr>
        <w:tc>
          <w:tcPr>
            <w:tcW w:type="dxa" w:w="4464"/>
            <w:shd w:val="clear" w:color="auto" w:fill="FFFFFF"/>
          </w:tcPr>
          <w:p>
            <w:r>
              <w:rPr>
                <w:sz w:val="19"/>
              </w:rPr>
              <w:t>Opportunity threshold</w:t>
            </w:r>
          </w:p>
        </w:tc>
        <w:tc>
          <w:tcPr>
            <w:tcW w:type="dxa" w:w="4464"/>
            <w:shd w:val="clear" w:color="auto" w:fill="FFFFFF"/>
          </w:tcPr>
          <w:p>
            <w:r>
              <w:rPr>
                <w:sz w:val="19"/>
              </w:rPr>
              <w:t>Highlight bar — ZIPs above this % are called 'high opportunity' in tables and metrics</w:t>
            </w:r>
          </w:p>
        </w:tc>
      </w:tr>
    </w:tbl>
    <w:p/>
    <w:p>
      <w:pPr>
        <w:pStyle w:val="Heading2"/>
      </w:pPr>
      <w:r>
        <w:rPr>
          <w:color w:val="E63946"/>
          <w:sz w:val="26"/>
        </w:rPr>
        <w:t>Reading SHAP Waterfall Charts (Deep Dive page)</w:t>
      </w:r>
    </w:p>
    <w:p>
      <w:r>
        <w:rPr>
          <w:color w:val="212529"/>
          <w:sz w:val="21"/>
        </w:rPr>
        <w:t>SHAP (SHapley Additive exPlanations) values explain why the model gave a specific ZIP a specific score in a specific month. Each bar represents one feature's contribution to pushing the prediction higher (red, positive) or lower (blue, negative).</w:t>
      </w:r>
    </w:p>
    <w:tbl>
      <w:tblPr>
        <w:tblStyle w:val="TableGrid"/>
        <w:tblW w:type="auto" w:w="0"/>
        <w:tblLook w:firstColumn="1" w:firstRow="1" w:lastColumn="0" w:lastRow="0" w:noHBand="0" w:noVBand="1" w:val="04A0"/>
      </w:tblPr>
      <w:tblGrid>
        <w:gridCol w:w="4464"/>
        <w:gridCol w:w="4464"/>
      </w:tblGrid>
      <w:tr>
        <w:tc>
          <w:tcPr>
            <w:tcW w:type="dxa" w:w="4464"/>
            <w:shd w:val="clear" w:color="auto" w:fill="0D1B2A"/>
          </w:tcPr>
          <w:p>
            <w:r>
              <w:rPr>
                <w:b/>
                <w:color w:val="FFFFFF"/>
                <w:sz w:val="19"/>
              </w:rPr>
              <w:t>SHAP concept</w:t>
            </w:r>
          </w:p>
        </w:tc>
        <w:tc>
          <w:tcPr>
            <w:tcW w:type="dxa" w:w="4464"/>
            <w:shd w:val="clear" w:color="auto" w:fill="0D1B2A"/>
          </w:tcPr>
          <w:p>
            <w:r>
              <w:rPr>
                <w:b/>
                <w:color w:val="FFFFFF"/>
                <w:sz w:val="19"/>
              </w:rPr>
              <w:t>Plain English</w:t>
            </w:r>
          </w:p>
        </w:tc>
      </w:tr>
      <w:tr>
        <w:tc>
          <w:tcPr>
            <w:tcW w:type="dxa" w:w="4464"/>
            <w:shd w:val="clear" w:color="auto" w:fill="F8FAFC"/>
          </w:tcPr>
          <w:p>
            <w:r>
              <w:rPr>
                <w:sz w:val="19"/>
              </w:rPr>
              <w:t>Base value</w:t>
            </w:r>
          </w:p>
        </w:tc>
        <w:tc>
          <w:tcPr>
            <w:tcW w:type="dxa" w:w="4464"/>
            <w:shd w:val="clear" w:color="auto" w:fill="F8FAFC"/>
          </w:tcPr>
          <w:p>
            <w:r>
              <w:rPr>
                <w:sz w:val="19"/>
              </w:rPr>
              <w:t>The model's average prediction across all ZIPs — the starting point before any ZIP-specific features are considered</w:t>
            </w:r>
          </w:p>
        </w:tc>
      </w:tr>
      <w:tr>
        <w:tc>
          <w:tcPr>
            <w:tcW w:type="dxa" w:w="4464"/>
            <w:shd w:val="clear" w:color="auto" w:fill="FFFFFF"/>
          </w:tcPr>
          <w:p>
            <w:r>
              <w:rPr>
                <w:sz w:val="19"/>
              </w:rPr>
              <w:t>Positive SHAP (red)</w:t>
            </w:r>
          </w:p>
        </w:tc>
        <w:tc>
          <w:tcPr>
            <w:tcW w:type="dxa" w:w="4464"/>
            <w:shd w:val="clear" w:color="auto" w:fill="FFFFFF"/>
          </w:tcPr>
          <w:p>
            <w:r>
              <w:rPr>
                <w:sz w:val="19"/>
              </w:rPr>
              <w:t>This feature's value for this ZIP, in this month, pushed the prediction toward upward transition</w:t>
            </w:r>
          </w:p>
        </w:tc>
      </w:tr>
      <w:tr>
        <w:tc>
          <w:tcPr>
            <w:tcW w:type="dxa" w:w="4464"/>
            <w:shd w:val="clear" w:color="auto" w:fill="F8FAFC"/>
          </w:tcPr>
          <w:p>
            <w:r>
              <w:rPr>
                <w:sz w:val="19"/>
              </w:rPr>
              <w:t>Negative SHAP (blue)</w:t>
            </w:r>
          </w:p>
        </w:tc>
        <w:tc>
          <w:tcPr>
            <w:tcW w:type="dxa" w:w="4464"/>
            <w:shd w:val="clear" w:color="auto" w:fill="F8FAFC"/>
          </w:tcPr>
          <w:p>
            <w:r>
              <w:rPr>
                <w:sz w:val="19"/>
              </w:rPr>
              <w:t>This feature's value pushed the prediction toward stable or cooling</w:t>
            </w:r>
          </w:p>
        </w:tc>
      </w:tr>
      <w:tr>
        <w:tc>
          <w:tcPr>
            <w:tcW w:type="dxa" w:w="4464"/>
            <w:shd w:val="clear" w:color="auto" w:fill="FFFFFF"/>
          </w:tcPr>
          <w:p>
            <w:r>
              <w:rPr>
                <w:sz w:val="19"/>
              </w:rPr>
              <w:t>Magnitude</w:t>
            </w:r>
          </w:p>
        </w:tc>
        <w:tc>
          <w:tcPr>
            <w:tcW w:type="dxa" w:w="4464"/>
            <w:shd w:val="clear" w:color="auto" w:fill="FFFFFF"/>
          </w:tcPr>
          <w:p>
            <w:r>
              <w:rPr>
                <w:sz w:val="19"/>
              </w:rPr>
              <w:t>The longer the bar, the more that feature influenced this specific prediction</w:t>
            </w:r>
          </w:p>
        </w:tc>
      </w:tr>
      <w:tr>
        <w:tc>
          <w:tcPr>
            <w:tcW w:type="dxa" w:w="4464"/>
            <w:shd w:val="clear" w:color="auto" w:fill="F8FAFC"/>
          </w:tcPr>
          <w:p>
            <w:r>
              <w:rPr>
                <w:sz w:val="19"/>
              </w:rPr>
              <w:t>Sum</w:t>
            </w:r>
          </w:p>
        </w:tc>
        <w:tc>
          <w:tcPr>
            <w:tcW w:type="dxa" w:w="4464"/>
            <w:shd w:val="clear" w:color="auto" w:fill="F8FAFC"/>
          </w:tcPr>
          <w:p>
            <w:r>
              <w:rPr>
                <w:sz w:val="19"/>
              </w:rPr>
              <w:t>All SHAP values plus the base value equals the model's final raw score (log-odds) for this ZIP/month</w:t>
            </w:r>
          </w:p>
        </w:tc>
      </w:tr>
    </w:tbl>
    <w:p/>
    <w:p>
      <w:r>
        <w:br w:type="page"/>
      </w:r>
    </w:p>
    <w:p>
      <w:pPr>
        <w:pStyle w:val="Heading1"/>
      </w:pPr>
      <w:r>
        <w:rPr>
          <w:color w:val="0D1B2A"/>
          <w:sz w:val="36"/>
        </w:rPr>
        <w:t>11. Known Limitations</w:t>
      </w:r>
    </w:p>
    <w:p>
      <w:r>
        <w:rPr>
          <w:color w:val="212529"/>
          <w:sz w:val="21"/>
        </w:rPr>
        <w:t>These are important to acknowledge honestly, especially in a presentation context.</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0D1B2A"/>
          </w:tcPr>
          <w:p>
            <w:r>
              <w:rPr>
                <w:b/>
                <w:color w:val="FFFFFF"/>
                <w:sz w:val="19"/>
              </w:rPr>
              <w:t>Limitation</w:t>
            </w:r>
          </w:p>
        </w:tc>
        <w:tc>
          <w:tcPr>
            <w:tcW w:type="dxa" w:w="2976"/>
            <w:shd w:val="clear" w:color="auto" w:fill="0D1B2A"/>
          </w:tcPr>
          <w:p>
            <w:r>
              <w:rPr>
                <w:b/>
                <w:color w:val="FFFFFF"/>
                <w:sz w:val="19"/>
              </w:rPr>
              <w:t>Why it exists</w:t>
            </w:r>
          </w:p>
        </w:tc>
        <w:tc>
          <w:tcPr>
            <w:tcW w:type="dxa" w:w="2976"/>
            <w:shd w:val="clear" w:color="auto" w:fill="0D1B2A"/>
          </w:tcPr>
          <w:p>
            <w:r>
              <w:rPr>
                <w:b/>
                <w:color w:val="FFFFFF"/>
                <w:sz w:val="19"/>
              </w:rPr>
              <w:t>How to address it in conversation</w:t>
            </w:r>
          </w:p>
        </w:tc>
      </w:tr>
      <w:tr>
        <w:tc>
          <w:tcPr>
            <w:tcW w:type="dxa" w:w="2976"/>
            <w:shd w:val="clear" w:color="auto" w:fill="F8FAFC"/>
          </w:tcPr>
          <w:p>
            <w:r>
              <w:rPr>
                <w:sz w:val="19"/>
              </w:rPr>
              <w:t>ZIP code aggregation</w:t>
            </w:r>
          </w:p>
        </w:tc>
        <w:tc>
          <w:tcPr>
            <w:tcW w:type="dxa" w:w="2976"/>
            <w:shd w:val="clear" w:color="auto" w:fill="F8FAFC"/>
          </w:tcPr>
          <w:p>
            <w:r>
              <w:rPr>
                <w:sz w:val="19"/>
              </w:rPr>
              <w:t>The model operates at ZIP level — a ZIP can contain very different block-level markets</w:t>
            </w:r>
          </w:p>
        </w:tc>
        <w:tc>
          <w:tcPr>
            <w:tcW w:type="dxa" w:w="2976"/>
            <w:shd w:val="clear" w:color="auto" w:fill="F8FAFC"/>
          </w:tcPr>
          <w:p>
            <w:r>
              <w:rPr>
                <w:sz w:val="19"/>
              </w:rPr>
              <w:t>Position as a screening tool. Deep Dive identifies ZIPs worth researching further at a finer level.</w:t>
            </w:r>
          </w:p>
        </w:tc>
      </w:tr>
      <w:tr>
        <w:tc>
          <w:tcPr>
            <w:tcW w:type="dxa" w:w="2976"/>
            <w:shd w:val="clear" w:color="auto" w:fill="FFFFFF"/>
          </w:tcPr>
          <w:p>
            <w:r>
              <w:rPr>
                <w:sz w:val="19"/>
              </w:rPr>
              <w:t>Engineered targets (no ground truth)</w:t>
            </w:r>
          </w:p>
        </w:tc>
        <w:tc>
          <w:tcPr>
            <w:tcW w:type="dxa" w:w="2976"/>
            <w:shd w:val="clear" w:color="auto" w:fill="FFFFFF"/>
          </w:tcPr>
          <w:p>
            <w:r>
              <w:rPr>
                <w:sz w:val="19"/>
              </w:rPr>
              <w:t>There is no official dataset of 'neighborhood transitions'. Our target is a proxy composite score.</w:t>
            </w:r>
          </w:p>
        </w:tc>
        <w:tc>
          <w:tcPr>
            <w:tcW w:type="dxa" w:w="2976"/>
            <w:shd w:val="clear" w:color="auto" w:fill="FFFFFF"/>
          </w:tcPr>
          <w:p>
            <w:r>
              <w:rPr>
                <w:sz w:val="19"/>
              </w:rPr>
              <w:t>The composite is grounded in three real market signals. The model predicts the composite accurately, not an arbitrary label.</w:t>
            </w:r>
          </w:p>
        </w:tc>
      </w:tr>
      <w:tr>
        <w:tc>
          <w:tcPr>
            <w:tcW w:type="dxa" w:w="2976"/>
            <w:shd w:val="clear" w:color="auto" w:fill="F8FAFC"/>
          </w:tcPr>
          <w:p>
            <w:r>
              <w:rPr>
                <w:sz w:val="19"/>
              </w:rPr>
              <w:t>Clustering silhouette = 0.16</w:t>
            </w:r>
          </w:p>
        </w:tc>
        <w:tc>
          <w:tcPr>
            <w:tcW w:type="dxa" w:w="2976"/>
            <w:shd w:val="clear" w:color="auto" w:fill="F8FAFC"/>
          </w:tcPr>
          <w:p>
            <w:r>
              <w:rPr>
                <w:sz w:val="19"/>
              </w:rPr>
              <w:t>Real estate markets are a continuum — ZIPs don't fall into discrete buckets</w:t>
            </w:r>
          </w:p>
        </w:tc>
        <w:tc>
          <w:tcPr>
            <w:tcW w:type="dxa" w:w="2976"/>
            <w:shd w:val="clear" w:color="auto" w:fill="F8FAFC"/>
          </w:tcPr>
          <w:p>
            <w:r>
              <w:rPr>
                <w:sz w:val="19"/>
              </w:rPr>
              <w:t>Present clusters as 'market tendencies on a spectrum', not hard categories. Using the same 18 model features improved silhouette from 0.11 to 0.16; profiles remain interpretable even with fuzzy boundaries.</w:t>
            </w:r>
          </w:p>
        </w:tc>
      </w:tr>
      <w:tr>
        <w:tc>
          <w:tcPr>
            <w:tcW w:type="dxa" w:w="2976"/>
            <w:shd w:val="clear" w:color="auto" w:fill="FFFFFF"/>
          </w:tcPr>
          <w:p>
            <w:r>
              <w:rPr>
                <w:sz w:val="19"/>
              </w:rPr>
              <w:t>2022 AUC dip (0.815)</w:t>
            </w:r>
          </w:p>
        </w:tc>
        <w:tc>
          <w:tcPr>
            <w:tcW w:type="dxa" w:w="2976"/>
            <w:shd w:val="clear" w:color="auto" w:fill="FFFFFF"/>
          </w:tcPr>
          <w:p>
            <w:r>
              <w:rPr>
                <w:sz w:val="19"/>
              </w:rPr>
              <w:t>Fed rate-hike cycle created conditions outside the training distribution</w:t>
            </w:r>
          </w:p>
        </w:tc>
        <w:tc>
          <w:tcPr>
            <w:tcW w:type="dxa" w:w="2976"/>
            <w:shd w:val="clear" w:color="auto" w:fill="FFFFFF"/>
          </w:tcPr>
          <w:p>
            <w:r>
              <w:rPr>
                <w:sz w:val="19"/>
              </w:rPr>
              <w:t>Acknowledge it directly. The recovery to 0.865 in 2023 is the more important signal — shows durability.</w:t>
            </w:r>
          </w:p>
        </w:tc>
      </w:tr>
      <w:tr>
        <w:tc>
          <w:tcPr>
            <w:tcW w:type="dxa" w:w="2976"/>
            <w:shd w:val="clear" w:color="auto" w:fill="F8FAFC"/>
          </w:tcPr>
          <w:p>
            <w:r>
              <w:rPr>
                <w:sz w:val="19"/>
              </w:rPr>
              <w:t>2025 predictions are unverified</w:t>
            </w:r>
          </w:p>
        </w:tc>
        <w:tc>
          <w:tcPr>
            <w:tcW w:type="dxa" w:w="2976"/>
            <w:shd w:val="clear" w:color="auto" w:fill="F8FAFC"/>
          </w:tcPr>
          <w:p>
            <w:r>
              <w:rPr>
                <w:sz w:val="19"/>
              </w:rPr>
              <w:t>The 12-month outcome window for 2025 predictions ends in late 2026</w:t>
            </w:r>
          </w:p>
        </w:tc>
        <w:tc>
          <w:tcPr>
            <w:tcW w:type="dxa" w:w="2976"/>
            <w:shd w:val="clear" w:color="auto" w:fill="F8FAFC"/>
          </w:tcPr>
          <w:p>
            <w:r>
              <w:rPr>
                <w:sz w:val="19"/>
              </w:rPr>
              <w:t>Be explicit. The 2024 predictions were validated at AUC 0.7747 on actual 2025 outcomes — that gives confidence, but 2025 predictions still cannot be verified until late 2026.</w:t>
            </w:r>
          </w:p>
        </w:tc>
      </w:tr>
      <w:tr>
        <w:tc>
          <w:tcPr>
            <w:tcW w:type="dxa" w:w="2976"/>
            <w:shd w:val="clear" w:color="auto" w:fill="FFFFFF"/>
          </w:tcPr>
          <w:p>
            <w:r>
              <w:rPr>
                <w:sz w:val="19"/>
              </w:rPr>
              <w:t>Annual data lag</w:t>
            </w:r>
          </w:p>
        </w:tc>
        <w:tc>
          <w:tcPr>
            <w:tcW w:type="dxa" w:w="2976"/>
            <w:shd w:val="clear" w:color="auto" w:fill="FFFFFF"/>
          </w:tcPr>
          <w:p>
            <w:r>
              <w:rPr>
                <w:sz w:val="19"/>
              </w:rPr>
              <w:t>ACS/IRS data is published 12–24 months after the reference year</w:t>
            </w:r>
          </w:p>
        </w:tc>
        <w:tc>
          <w:tcPr>
            <w:tcW w:type="dxa" w:w="2976"/>
            <w:shd w:val="clear" w:color="auto" w:fill="FFFFFF"/>
          </w:tcPr>
          <w:p>
            <w:r>
              <w:rPr>
                <w:sz w:val="19"/>
              </w:rPr>
              <w:t>This was the primary reason we dropped annual features from the winning model. The monthly-only model has no data-lag risk.</w:t>
            </w:r>
          </w:p>
        </w:tc>
      </w:tr>
    </w:tbl>
    <w:p/>
    <w:p>
      <w:r>
        <w:br w:type="page"/>
      </w:r>
    </w:p>
    <w:p>
      <w:pPr>
        <w:pStyle w:val="Heading1"/>
      </w:pPr>
      <w:r>
        <w:rPr>
          <w:color w:val="0D1B2A"/>
          <w:sz w:val="36"/>
        </w:rPr>
        <w:t>12. Anticipated Questions &amp; Answers</w:t>
      </w:r>
    </w:p>
    <w:p>
      <w:pPr>
        <w:pStyle w:val="Heading2"/>
      </w:pPr>
      <w:r>
        <w:rPr>
          <w:color w:val="E63946"/>
          <w:sz w:val="26"/>
        </w:rPr>
        <w:t>Why not use a neural network / deep learning model?</w:t>
      </w:r>
    </w:p>
    <w:p>
      <w:r>
        <w:rPr>
          <w:color w:val="212529"/>
          <w:sz w:val="21"/>
        </w:rPr>
        <w:t>Gradient Boosting on tabular data consistently outperforms deep learning when the dataset is relatively small (20,000 rows), features are structured numerical inputs, and interpretability matters. SHAP values give us feature-level explanations that would be much harder to produce from a neural network. We also only have ~2.5 years of labeled data — neural networks need more to generalize well.</w:t>
      </w:r>
    </w:p>
    <w:p>
      <w:pPr>
        <w:pStyle w:val="Heading2"/>
      </w:pPr>
      <w:r>
        <w:rPr>
          <w:color w:val="E63946"/>
          <w:sz w:val="26"/>
        </w:rPr>
        <w:t>Why not use LSTM or time-series-specific models?</w:t>
      </w:r>
    </w:p>
    <w:p>
      <w:r>
        <w:rPr>
          <w:color w:val="212529"/>
          <w:sz w:val="21"/>
        </w:rPr>
        <w:t>LSTMs and similar sequence models require long, clean time series per entity. Our panel starts in mid-2019 and ends in late 2021 for labeled data — roughly 30 months per ZIP. That is too short for an LSTM to learn meaningful temporal dependencies beyond what lag features already capture. Our engineered lag/rolling features provide the model with the same temporal context more reliably and interpretably.</w:t>
      </w:r>
    </w:p>
    <w:p>
      <w:pPr>
        <w:pStyle w:val="Heading2"/>
      </w:pPr>
      <w:r>
        <w:rPr>
          <w:color w:val="E63946"/>
          <w:sz w:val="26"/>
        </w:rPr>
        <w:t>Why 12-month prediction horizon?</w:t>
      </w:r>
    </w:p>
    <w:p>
      <w:r>
        <w:rPr>
          <w:color w:val="212529"/>
          <w:sz w:val="21"/>
        </w:rPr>
        <w:t>A 12-month horizon is the natural decision cycle for real estate investors — it aligns with typical due diligence and acquisition timelines. Shorter horizons (3–6 months) would be noisier and harder to act on. Longer horizons (24+ months) would require more data than we have for the forward window.</w:t>
      </w:r>
    </w:p>
    <w:p>
      <w:pPr>
        <w:pStyle w:val="Heading2"/>
      </w:pPr>
      <w:r>
        <w:rPr>
          <w:color w:val="E63946"/>
          <w:sz w:val="26"/>
        </w:rPr>
        <w:t>How do you know the model isn't overfitting?</w:t>
      </w:r>
    </w:p>
    <w:p>
      <w:r>
        <w:rPr>
          <w:color w:val="212529"/>
          <w:sz w:val="21"/>
        </w:rPr>
        <w:t>Walk-forward validation prevents overfitting by construction: the model never sees future data during training. We also use RFECV to select features — this removes low-signal features that would otherwise allow the model to fit noise. The consistency of AUC across folds A (0.844) and C (0.865) — despite very different market conditions — is evidence of genuine generalization, not overfitting.</w:t>
      </w:r>
    </w:p>
    <w:p>
      <w:pPr>
        <w:pStyle w:val="Heading2"/>
      </w:pPr>
      <w:r>
        <w:rPr>
          <w:color w:val="E63946"/>
          <w:sz w:val="26"/>
        </w:rPr>
        <w:t>What does a 'high opportunity score' mean in practice?</w:t>
      </w:r>
    </w:p>
    <w:p>
      <w:r>
        <w:rPr>
          <w:color w:val="212529"/>
          <w:sz w:val="21"/>
        </w:rPr>
        <w:t>A score of 0.70 means the model assigns a 70% probability that this ZIP will enter an upward housing transition over the next 12 months — defined as its composite score of home value growth, inventory tightening, and market competitiveness exceeding the 75th percentile of all ZIPs in that same time window. It is a relative ranking signal, not an absolute forecast of price appreciation percentage.</w:t>
      </w:r>
    </w:p>
    <w:p>
      <w:pPr>
        <w:pStyle w:val="Heading2"/>
      </w:pPr>
      <w:r>
        <w:rPr>
          <w:color w:val="E63946"/>
          <w:sz w:val="26"/>
        </w:rPr>
        <w:t>Is this project saying you SHOULD invest in high-opportunity ZIPs?</w:t>
      </w:r>
    </w:p>
    <w:p>
      <w:r>
        <w:rPr>
          <w:color w:val="212529"/>
          <w:sz w:val="21"/>
        </w:rPr>
        <w:t>No. The tool is an early-warning and screening system, not investment advice. A high opportunity score identifies ZIPs that the model predicts are likely to enter transition conditions — it does not account for property-specific factors, local regulation, financing conditions, or the investor's specific strategy. It narrows the search space; it does not replace due diligence.</w:t>
      </w:r>
    </w:p>
    <w:p>
      <w:r>
        <w:br w:type="page"/>
      </w:r>
    </w:p>
    <w:p>
      <w:pPr>
        <w:pStyle w:val="Heading1"/>
      </w:pPr>
      <w:r>
        <w:rPr>
          <w:color w:val="0D1B2A"/>
          <w:sz w:val="36"/>
        </w:rPr>
        <w:t>13. Technical Setup &amp; Reproducibility</w:t>
      </w:r>
    </w:p>
    <w:p>
      <w:pPr>
        <w:pStyle w:val="Heading2"/>
      </w:pPr>
      <w:r>
        <w:rPr>
          <w:color w:val="E63946"/>
          <w:sz w:val="26"/>
        </w:rPr>
        <w:t>Notebook Pipeline — Run in This Order</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1B2A"/>
          </w:tcPr>
          <w:p>
            <w:r>
              <w:rPr>
                <w:b/>
                <w:color w:val="FFFFFF"/>
                <w:sz w:val="19"/>
              </w:rPr>
              <w:t>Step</w:t>
            </w:r>
          </w:p>
        </w:tc>
        <w:tc>
          <w:tcPr>
            <w:tcW w:type="dxa" w:w="2232"/>
            <w:shd w:val="clear" w:color="auto" w:fill="0D1B2A"/>
          </w:tcPr>
          <w:p>
            <w:r>
              <w:rPr>
                <w:b/>
                <w:color w:val="FFFFFF"/>
                <w:sz w:val="19"/>
              </w:rPr>
              <w:t>Notebook / Script</w:t>
            </w:r>
          </w:p>
        </w:tc>
        <w:tc>
          <w:tcPr>
            <w:tcW w:type="dxa" w:w="2232"/>
            <w:shd w:val="clear" w:color="auto" w:fill="0D1B2A"/>
          </w:tcPr>
          <w:p>
            <w:r>
              <w:rPr>
                <w:b/>
                <w:color w:val="FFFFFF"/>
                <w:sz w:val="19"/>
              </w:rPr>
              <w:t>Output</w:t>
            </w:r>
          </w:p>
        </w:tc>
        <w:tc>
          <w:tcPr>
            <w:tcW w:type="dxa" w:w="2232"/>
            <w:shd w:val="clear" w:color="auto" w:fill="0D1B2A"/>
          </w:tcPr>
          <w:p>
            <w:r>
              <w:rPr>
                <w:b/>
                <w:color w:val="FFFFFF"/>
                <w:sz w:val="19"/>
              </w:rPr>
              <w:t>Notes</w:t>
            </w:r>
          </w:p>
        </w:tc>
      </w:tr>
      <w:tr>
        <w:tc>
          <w:tcPr>
            <w:tcW w:type="dxa" w:w="2232"/>
            <w:shd w:val="clear" w:color="auto" w:fill="F8FAFC"/>
          </w:tcPr>
          <w:p>
            <w:r>
              <w:rPr>
                <w:sz w:val="19"/>
              </w:rPr>
              <w:t>1</w:t>
            </w:r>
          </w:p>
        </w:tc>
        <w:tc>
          <w:tcPr>
            <w:tcW w:type="dxa" w:w="2232"/>
            <w:shd w:val="clear" w:color="auto" w:fill="F8FAFC"/>
          </w:tcPr>
          <w:p>
            <w:r>
              <w:rPr>
                <w:sz w:val="19"/>
              </w:rPr>
              <w:t>exploration.ipynb</w:t>
            </w:r>
          </w:p>
        </w:tc>
        <w:tc>
          <w:tcPr>
            <w:tcW w:type="dxa" w:w="2232"/>
            <w:shd w:val="clear" w:color="auto" w:fill="F8FAFC"/>
          </w:tcPr>
          <w:p>
            <w:r>
              <w:rPr>
                <w:sz w:val="19"/>
              </w:rPr>
              <w:t>consolidated_zip_month_redfin_gap_filtered_model_cols.csv</w:t>
            </w:r>
          </w:p>
        </w:tc>
        <w:tc>
          <w:tcPr>
            <w:tcW w:type="dxa" w:w="2232"/>
            <w:shd w:val="clear" w:color="auto" w:fill="F8FAFC"/>
          </w:tcPr>
          <w:p>
            <w:r>
              <w:rPr>
                <w:sz w:val="19"/>
              </w:rPr>
              <w:t>Data quality audit, ZIP coverage filter</w:t>
            </w:r>
          </w:p>
        </w:tc>
      </w:tr>
      <w:tr>
        <w:tc>
          <w:tcPr>
            <w:tcW w:type="dxa" w:w="2232"/>
            <w:shd w:val="clear" w:color="auto" w:fill="FFFFFF"/>
          </w:tcPr>
          <w:p>
            <w:r>
              <w:rPr>
                <w:sz w:val="19"/>
              </w:rPr>
              <w:t>2</w:t>
            </w:r>
          </w:p>
        </w:tc>
        <w:tc>
          <w:tcPr>
            <w:tcW w:type="dxa" w:w="2232"/>
            <w:shd w:val="clear" w:color="auto" w:fill="FFFFFF"/>
          </w:tcPr>
          <w:p>
            <w:r>
              <w:rPr>
                <w:sz w:val="19"/>
              </w:rPr>
              <w:t>data_prep_and_eda.ipynb</w:t>
            </w:r>
          </w:p>
        </w:tc>
        <w:tc>
          <w:tcPr>
            <w:tcW w:type="dxa" w:w="2232"/>
            <w:shd w:val="clear" w:color="auto" w:fill="FFFFFF"/>
          </w:tcPr>
          <w:p>
            <w:r>
              <w:rPr>
                <w:sz w:val="19"/>
              </w:rPr>
              <w:t>modeling_ready.csv</w:t>
            </w:r>
          </w:p>
        </w:tc>
        <w:tc>
          <w:tcPr>
            <w:tcW w:type="dxa" w:w="2232"/>
            <w:shd w:val="clear" w:color="auto" w:fill="FFFFFF"/>
          </w:tcPr>
          <w:p>
            <w:r>
              <w:rPr>
                <w:sz w:val="19"/>
              </w:rPr>
              <w:t>Consolidation and EDA</w:t>
            </w:r>
          </w:p>
        </w:tc>
      </w:tr>
      <w:tr>
        <w:tc>
          <w:tcPr>
            <w:tcW w:type="dxa" w:w="2232"/>
            <w:shd w:val="clear" w:color="auto" w:fill="F8FAFC"/>
          </w:tcPr>
          <w:p>
            <w:r>
              <w:rPr>
                <w:sz w:val="19"/>
              </w:rPr>
              <w:t>3</w:t>
            </w:r>
          </w:p>
        </w:tc>
        <w:tc>
          <w:tcPr>
            <w:tcW w:type="dxa" w:w="2232"/>
            <w:shd w:val="clear" w:color="auto" w:fill="F8FAFC"/>
          </w:tcPr>
          <w:p>
            <w:r>
              <w:rPr>
                <w:sz w:val="19"/>
              </w:rPr>
              <w:t>feature_engineering.ipynb</w:t>
            </w:r>
          </w:p>
        </w:tc>
        <w:tc>
          <w:tcPr>
            <w:tcW w:type="dxa" w:w="2232"/>
            <w:shd w:val="clear" w:color="auto" w:fill="F8FAFC"/>
          </w:tcPr>
          <w:p>
            <w:r>
              <w:rPr>
                <w:sz w:val="19"/>
              </w:rPr>
              <w:t>features_engineered.csv</w:t>
            </w:r>
          </w:p>
        </w:tc>
        <w:tc>
          <w:tcPr>
            <w:tcW w:type="dxa" w:w="2232"/>
            <w:shd w:val="clear" w:color="auto" w:fill="F8FAFC"/>
          </w:tcPr>
          <w:p>
            <w:r>
              <w:rPr>
                <w:sz w:val="19"/>
              </w:rPr>
              <w:t>Lag, rolling, acceleration, baseline features</w:t>
            </w:r>
          </w:p>
        </w:tc>
      </w:tr>
      <w:tr>
        <w:tc>
          <w:tcPr>
            <w:tcW w:type="dxa" w:w="2232"/>
            <w:shd w:val="clear" w:color="auto" w:fill="FFFFFF"/>
          </w:tcPr>
          <w:p>
            <w:r>
              <w:rPr>
                <w:sz w:val="19"/>
              </w:rPr>
              <w:t>4</w:t>
            </w:r>
          </w:p>
        </w:tc>
        <w:tc>
          <w:tcPr>
            <w:tcW w:type="dxa" w:w="2232"/>
            <w:shd w:val="clear" w:color="auto" w:fill="FFFFFF"/>
          </w:tcPr>
          <w:p>
            <w:r>
              <w:rPr>
                <w:sz w:val="19"/>
              </w:rPr>
              <w:t>target_engineering.ipynb</w:t>
            </w:r>
          </w:p>
        </w:tc>
        <w:tc>
          <w:tcPr>
            <w:tcW w:type="dxa" w:w="2232"/>
            <w:shd w:val="clear" w:color="auto" w:fill="FFFFFF"/>
          </w:tcPr>
          <w:p>
            <w:r>
              <w:rPr>
                <w:sz w:val="19"/>
              </w:rPr>
              <w:t>modeling_dataset.csv</w:t>
            </w:r>
          </w:p>
        </w:tc>
        <w:tc>
          <w:tcPr>
            <w:tcW w:type="dxa" w:w="2232"/>
            <w:shd w:val="clear" w:color="auto" w:fill="FFFFFF"/>
          </w:tcPr>
          <w:p>
            <w:r>
              <w:rPr>
                <w:sz w:val="19"/>
              </w:rPr>
              <w:t>Composite score + binary/3-class targets</w:t>
            </w:r>
          </w:p>
        </w:tc>
      </w:tr>
      <w:tr>
        <w:tc>
          <w:tcPr>
            <w:tcW w:type="dxa" w:w="2232"/>
            <w:shd w:val="clear" w:color="auto" w:fill="F8FAFC"/>
          </w:tcPr>
          <w:p>
            <w:r>
              <w:rPr>
                <w:sz w:val="19"/>
              </w:rPr>
              <w:t>5</w:t>
            </w:r>
          </w:p>
        </w:tc>
        <w:tc>
          <w:tcPr>
            <w:tcW w:type="dxa" w:w="2232"/>
            <w:shd w:val="clear" w:color="auto" w:fill="F8FAFC"/>
          </w:tcPr>
          <w:p>
            <w:r>
              <w:rPr>
                <w:sz w:val="19"/>
              </w:rPr>
              <w:t>clustering.ipynb</w:t>
            </w:r>
          </w:p>
        </w:tc>
        <w:tc>
          <w:tcPr>
            <w:tcW w:type="dxa" w:w="2232"/>
            <w:shd w:val="clear" w:color="auto" w:fill="F8FAFC"/>
          </w:tcPr>
          <w:p>
            <w:r>
              <w:rPr>
                <w:sz w:val="19"/>
              </w:rPr>
              <w:t>modeling_dataset_with_clusters.csv</w:t>
            </w:r>
          </w:p>
        </w:tc>
        <w:tc>
          <w:tcPr>
            <w:tcW w:type="dxa" w:w="2232"/>
            <w:shd w:val="clear" w:color="auto" w:fill="F8FAFC"/>
          </w:tcPr>
          <w:p>
            <w:r>
              <w:rPr>
                <w:sz w:val="19"/>
              </w:rPr>
              <w:t>K-means k=5 archetypes</w:t>
            </w:r>
          </w:p>
        </w:tc>
      </w:tr>
      <w:tr>
        <w:tc>
          <w:tcPr>
            <w:tcW w:type="dxa" w:w="2232"/>
            <w:shd w:val="clear" w:color="auto" w:fill="FFFFFF"/>
          </w:tcPr>
          <w:p>
            <w:r>
              <w:rPr>
                <w:sz w:val="19"/>
              </w:rPr>
              <w:t>6</w:t>
            </w:r>
          </w:p>
        </w:tc>
        <w:tc>
          <w:tcPr>
            <w:tcW w:type="dxa" w:w="2232"/>
            <w:shd w:val="clear" w:color="auto" w:fill="FFFFFF"/>
          </w:tcPr>
          <w:p>
            <w:r>
              <w:rPr>
                <w:sz w:val="19"/>
              </w:rPr>
              <w:t>modeling.ipynb</w:t>
            </w:r>
          </w:p>
        </w:tc>
        <w:tc>
          <w:tcPr>
            <w:tcW w:type="dxa" w:w="2232"/>
            <w:shd w:val="clear" w:color="auto" w:fill="FFFFFF"/>
          </w:tcPr>
          <w:p>
            <w:r>
              <w:rPr>
                <w:sz w:val="19"/>
              </w:rPr>
              <w:t>model_predictions_v3.csv, shap_values.csv</w:t>
            </w:r>
          </w:p>
        </w:tc>
        <w:tc>
          <w:tcPr>
            <w:tcW w:type="dxa" w:w="2232"/>
            <w:shd w:val="clear" w:color="auto" w:fill="FFFFFF"/>
          </w:tcPr>
          <w:p>
            <w:r>
              <w:rPr>
                <w:sz w:val="19"/>
              </w:rPr>
              <w:t>V3 model (all sources)</w:t>
            </w:r>
          </w:p>
        </w:tc>
      </w:tr>
      <w:tr>
        <w:tc>
          <w:tcPr>
            <w:tcW w:type="dxa" w:w="2232"/>
            <w:shd w:val="clear" w:color="auto" w:fill="F8FAFC"/>
          </w:tcPr>
          <w:p>
            <w:r>
              <w:rPr>
                <w:sz w:val="19"/>
              </w:rPr>
              <w:t>7</w:t>
            </w:r>
          </w:p>
        </w:tc>
        <w:tc>
          <w:tcPr>
            <w:tcW w:type="dxa" w:w="2232"/>
            <w:shd w:val="clear" w:color="auto" w:fill="F8FAFC"/>
          </w:tcPr>
          <w:p>
            <w:r>
              <w:rPr>
                <w:sz w:val="19"/>
              </w:rPr>
              <w:t>scripts/run_monthly_model.py</w:t>
            </w:r>
          </w:p>
        </w:tc>
        <w:tc>
          <w:tcPr>
            <w:tcW w:type="dxa" w:w="2232"/>
            <w:shd w:val="clear" w:color="auto" w:fill="F8FAFC"/>
          </w:tcPr>
          <w:p>
            <w:r>
              <w:rPr>
                <w:sz w:val="19"/>
              </w:rPr>
              <w:t>model_predictions_monthly.csv, shap_values_monthly.csv, model_comparison.json</w:t>
            </w:r>
          </w:p>
        </w:tc>
        <w:tc>
          <w:tcPr>
            <w:tcW w:type="dxa" w:w="2232"/>
            <w:shd w:val="clear" w:color="auto" w:fill="F8FAFC"/>
          </w:tcPr>
          <w:p>
            <w:r>
              <w:rPr>
                <w:sz w:val="19"/>
              </w:rPr>
              <w:t>Monthly-only model (winner)</w:t>
            </w:r>
          </w:p>
        </w:tc>
      </w:tr>
      <w:tr>
        <w:tc>
          <w:tcPr>
            <w:tcW w:type="dxa" w:w="2232"/>
            <w:shd w:val="clear" w:color="auto" w:fill="FFFFFF"/>
          </w:tcPr>
          <w:p>
            <w:r>
              <w:rPr>
                <w:sz w:val="19"/>
              </w:rPr>
              <w:t>8</w:t>
            </w:r>
          </w:p>
        </w:tc>
        <w:tc>
          <w:tcPr>
            <w:tcW w:type="dxa" w:w="2232"/>
            <w:shd w:val="clear" w:color="auto" w:fill="FFFFFF"/>
          </w:tcPr>
          <w:p>
            <w:r>
              <w:rPr>
                <w:sz w:val="19"/>
              </w:rPr>
              <w:t>scripts/generate_forward_predictions.py</w:t>
            </w:r>
          </w:p>
        </w:tc>
        <w:tc>
          <w:tcPr>
            <w:tcW w:type="dxa" w:w="2232"/>
            <w:shd w:val="clear" w:color="auto" w:fill="FFFFFF"/>
          </w:tcPr>
          <w:p>
            <w:r>
              <w:rPr>
                <w:sz w:val="19"/>
              </w:rPr>
              <w:t>model_predictions_forward_2024.csv, model_predictions_multiclass_forward_2024.csv</w:t>
            </w:r>
          </w:p>
        </w:tc>
        <w:tc>
          <w:tcPr>
            <w:tcW w:type="dxa" w:w="2232"/>
            <w:shd w:val="clear" w:color="auto" w:fill="FFFFFF"/>
          </w:tcPr>
          <w:p>
            <w:r>
              <w:rPr>
                <w:sz w:val="19"/>
              </w:rPr>
              <w:t>2024 forward signal</w:t>
            </w:r>
          </w:p>
        </w:tc>
      </w:tr>
    </w:tbl>
    <w:p/>
    <w:p>
      <w:pPr>
        <w:pStyle w:val="Heading2"/>
      </w:pPr>
      <w:r>
        <w:rPr>
          <w:color w:val="E63946"/>
          <w:sz w:val="26"/>
        </w:rPr>
        <w:t>Package Management</w:t>
      </w:r>
    </w:p>
    <w:p>
      <w:r>
        <w:rPr>
          <w:color w:val="212529"/>
          <w:sz w:val="21"/>
        </w:rPr>
        <w:t>The project uses uv for dependency management with pyproject.toml + uv.lock for reproducibility. Always use 'uv add &lt;package&gt;' to install dependencies — never pip install directly, as this bypasses the lock file.</w:t>
      </w:r>
    </w:p>
    <w:p>
      <w:r>
        <w:rPr>
          <w:color w:val="212529"/>
          <w:sz w:val="21"/>
        </w:rPr>
        <w:t>Exception: shap must be installed with 'uv pip install shap' due to a cross-platform numba version conflict that prevents it from being added to the lock file. This is only needed for running the modeling notebooks — the Streamlit app does not import shap (SHAP values are pre-computed and stored as CSVs).</w:t>
      </w:r>
    </w:p>
    <w:p>
      <w:pPr>
        <w:pStyle w:val="Heading2"/>
      </w:pPr>
      <w:r>
        <w:rPr>
          <w:color w:val="E63946"/>
          <w:sz w:val="26"/>
        </w:rPr>
        <w:t>Deployment</w:t>
      </w:r>
    </w:p>
    <w:p>
      <w:r>
        <w:rPr>
          <w:color w:val="212529"/>
          <w:sz w:val="21"/>
        </w:rPr>
        <w:t>The app is deployed on Hugging Face Spaces (Streamlit SDK) at https://huggingface.co/spaces/timagonch/nc-sc-market-monitor. Only the 5 runtime data files (~57MB total) are included in the Space repository. The large intermediate pipeline files are gitignored and remain local.</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