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b w:val="1"/>
          <w:bCs w:val="1"/>
        </w:rPr>
      </w:pPr>
      <w:r w:rsidDel="00000000" w:rsidR="00000000" w:rsidRPr="00000000">
        <w:rPr>
          <w:rtl w:val="0"/>
        </w:rPr>
      </w:r>
    </w:p>
    <w:p w:rsidR="00000000" w:rsidDel="00000000" w:rsidP="00000000" w:rsidRDefault="00000000" w:rsidRPr="00000000" w14:paraId="00000009">
      <w:pPr>
        <w:spacing w:line="480" w:lineRule="auto"/>
        <w:jc w:val="center"/>
        <w:rPr>
          <w:b w:val="1"/>
          <w:bCs w:val="1"/>
        </w:rPr>
      </w:pPr>
      <w:r w:rsidDel="00000000" w:rsidR="00000000" w:rsidRPr="00000000">
        <w:rPr>
          <w:b w:val="1"/>
          <w:bCs w:val="1"/>
          <w:rtl w:val="0"/>
        </w:rPr>
        <w:t xml:space="preserve">The Ecolink Model: A Methodological Framework for Restoration Ecology</w:t>
      </w:r>
    </w:p>
    <w:p w:rsidR="00000000" w:rsidDel="00000000" w:rsidP="00000000" w:rsidRDefault="00000000" w:rsidRPr="00000000" w14:paraId="0000000A">
      <w:pPr>
        <w:spacing w:line="480" w:lineRule="auto"/>
        <w:jc w:val="center"/>
        <w:rPr/>
      </w:pPr>
      <w:r w:rsidDel="00000000" w:rsidR="00000000" w:rsidRPr="00000000">
        <w:rPr>
          <w:rtl w:val="0"/>
        </w:rPr>
      </w:r>
    </w:p>
    <w:p w:rsidR="00000000" w:rsidDel="00000000" w:rsidP="00000000" w:rsidRDefault="00000000" w:rsidRPr="00000000" w14:paraId="0000000B">
      <w:pPr>
        <w:spacing w:line="480" w:lineRule="auto"/>
        <w:jc w:val="center"/>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t xml:space="preserve">Kacey Hammond </w:t>
      </w:r>
    </w:p>
    <w:p w:rsidR="00000000" w:rsidDel="00000000" w:rsidP="00000000" w:rsidRDefault="00000000" w:rsidRPr="00000000" w14:paraId="0000000D">
      <w:pPr>
        <w:spacing w:line="480" w:lineRule="auto"/>
        <w:jc w:val="center"/>
        <w:rPr/>
      </w:pPr>
      <w:r w:rsidDel="00000000" w:rsidR="00000000" w:rsidRPr="00000000">
        <w:rPr>
          <w:rtl w:val="0"/>
        </w:rPr>
        <w:t xml:space="preserve">Institute for Environmental and Interdisciplinary Science </w:t>
      </w:r>
    </w:p>
    <w:p w:rsidR="00000000" w:rsidDel="00000000" w:rsidP="00000000" w:rsidRDefault="00000000" w:rsidRPr="00000000" w14:paraId="0000000E">
      <w:pPr>
        <w:spacing w:line="480" w:lineRule="auto"/>
        <w:jc w:val="center"/>
        <w:rPr/>
      </w:pPr>
      <w:r w:rsidDel="00000000" w:rsidR="00000000" w:rsidRPr="00000000">
        <w:rPr>
          <w:rtl w:val="0"/>
        </w:rPr>
        <w:t xml:space="preserve">ENSC 4906: Honours Research Project</w:t>
      </w:r>
    </w:p>
    <w:p w:rsidR="00000000" w:rsidDel="00000000" w:rsidP="00000000" w:rsidRDefault="00000000" w:rsidRPr="00000000" w14:paraId="0000000F">
      <w:pPr>
        <w:spacing w:line="480" w:lineRule="auto"/>
        <w:jc w:val="center"/>
        <w:rPr/>
      </w:pPr>
      <w:r w:rsidDel="00000000" w:rsidR="00000000" w:rsidRPr="00000000">
        <w:rPr>
          <w:rtl w:val="0"/>
        </w:rPr>
        <w:t xml:space="preserve">Dr. Tim Alamenciak</w:t>
      </w:r>
    </w:p>
    <w:p w:rsidR="00000000" w:rsidDel="00000000" w:rsidP="00000000" w:rsidRDefault="00000000" w:rsidRPr="00000000" w14:paraId="00000010">
      <w:pPr>
        <w:spacing w:line="480" w:lineRule="auto"/>
        <w:jc w:val="center"/>
        <w:rPr/>
      </w:pPr>
      <w:r w:rsidDel="00000000" w:rsidR="00000000" w:rsidRPr="00000000">
        <w:rPr>
          <w:rtl w:val="0"/>
        </w:rPr>
        <w:t xml:space="preserve">April 8th, 2026</w:t>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jc w:val="center"/>
        <w:rPr/>
      </w:pPr>
      <w:r w:rsidDel="00000000" w:rsidR="00000000" w:rsidRPr="00000000">
        <w:rPr>
          <w:b w:val="1"/>
          <w:bCs w:val="1"/>
          <w:rtl w:val="0"/>
        </w:rPr>
        <w:t xml:space="preserve">Introduction</w:t>
      </w:r>
      <w:r w:rsidDel="00000000" w:rsidR="00000000" w:rsidRPr="00000000">
        <w:rPr>
          <w:rtl w:val="0"/>
        </w:rPr>
        <w:t xml:space="preserve">: </w:t>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t xml:space="preserve">Ecological restoration plays a crucial role in combating the biodiversity crisis by decreasing the loss of species and protecting fauna and flora. However, the knowledge is o</w:t>
      </w:r>
      <w:r w:rsidDel="00000000" w:rsidR="00000000" w:rsidRPr="00000000">
        <w:rPr>
          <w:rtl w:val="0"/>
        </w:rPr>
        <w:t xml:space="preserve">ften fragmented across isolated datasets, publications, and knowledge systems</w:t>
      </w:r>
      <w:r w:rsidDel="00000000" w:rsidR="00000000" w:rsidRPr="00000000">
        <w:rPr>
          <w:rtl w:val="0"/>
        </w:rPr>
        <w:t xml:space="preserve"> (Heger et al., 2024). This restricts researchers' ability to synthesize and analyze the relationships between environmental entities and processes. Given the growing threat of the biodiversity crisis, robust and interconnected knowledge systems are needed to better understand how conservation efforts can be best focused, while understanding the impacts of their cascading effects. Environmental systems are inherently complex webs of interconnected species, environmental variables, climate and ecological processes making new approaches to synthesize and streamline research necessary in the application of restoration knowledge.</w:t>
      </w: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t xml:space="preserve">Grassland restoration has historically been a complex and time-consuming process (Palmer et al., 2020). Grassland plant communities need adaptive management and often do not recover quickly from disturbances, both anthropogenic and natural (Palmer et al., 2020). Grasslands are a crucial piece of the ecological web as they provide large stores of terrestrial carbon and provide ecosystem services such as grazing for livestock, flood buffering, and water purification (IPBES, 2019). Understanding how best to protect and restore function to grasslands will lead to better restoration and have vast trophic effects for biodiversity.</w:t>
      </w: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t xml:space="preserve">This study applies the Ecolink Model to an existing systematic scoping review dataset (Alamenciak et al., 2026) to construct a restoration-focused knowledge graph. This graph serves as a semantic framework that enhances conceptual clarity, interdisciplinary linkages, and analytical capacity within complex environmental systems. By integrating restoration research findings into the model, the resulting framework organizes knowledge to improve accessibility for both scientists and industry practitioners. Given the fast-paced nature of decision-making in restoration ecology, coupled with its historically low success rates, tools that support evidence-based decisions through interconnected knowledge systems have significant potential to improve restoration outcomes.</w:t>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jc w:val="center"/>
        <w:rPr/>
      </w:pPr>
      <w:r w:rsidDel="00000000" w:rsidR="00000000" w:rsidRPr="00000000">
        <w:rPr>
          <w:b w:val="1"/>
          <w:bCs w:val="1"/>
          <w:rtl w:val="0"/>
        </w:rPr>
        <w:t xml:space="preserve">Background </w:t>
      </w:r>
      <w:r w:rsidDel="00000000" w:rsidR="00000000" w:rsidRPr="00000000">
        <w:rPr>
          <w:rtl w:val="0"/>
        </w:rPr>
      </w:r>
    </w:p>
    <w:p w:rsidR="00000000" w:rsidDel="00000000" w:rsidP="00000000" w:rsidRDefault="00000000" w:rsidRPr="00000000" w14:paraId="00000024">
      <w:pPr>
        <w:spacing w:line="480" w:lineRule="auto"/>
        <w:rPr>
          <w:u w:val="single"/>
        </w:rPr>
      </w:pPr>
      <w:r w:rsidDel="00000000" w:rsidR="00000000" w:rsidRPr="00000000">
        <w:rPr>
          <w:rtl w:val="0"/>
        </w:rPr>
      </w:r>
    </w:p>
    <w:p w:rsidR="00000000" w:rsidDel="00000000" w:rsidP="00000000" w:rsidRDefault="00000000" w:rsidRPr="00000000" w14:paraId="00000025">
      <w:pPr>
        <w:spacing w:line="480" w:lineRule="auto"/>
        <w:rPr>
          <w:b w:val="1"/>
          <w:bCs w:val="1"/>
        </w:rPr>
      </w:pPr>
      <w:r w:rsidDel="00000000" w:rsidR="00000000" w:rsidRPr="00000000">
        <w:rPr>
          <w:b w:val="1"/>
          <w:bCs w:val="1"/>
          <w:rtl w:val="0"/>
        </w:rPr>
        <w:t xml:space="preserve">The Biodiversity Crisis and the Imperative for Restoration</w:t>
      </w:r>
    </w:p>
    <w:p w:rsidR="00000000" w:rsidDel="00000000" w:rsidP="00000000" w:rsidRDefault="00000000" w:rsidRPr="00000000" w14:paraId="00000026">
      <w:pPr>
        <w:spacing w:line="480" w:lineRule="auto"/>
        <w:rPr>
          <w:b w:val="1"/>
          <w:bCs w:val="1"/>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t xml:space="preserve">Global biodiversity has decreased considerably in the last 50 years. Presently, there are up to one million species threatened with extinction as a direct result of anthropogenic pressures such as land-use change, climate change, and pollution (IPBES, 2019). Biodiversity experts estimate that between 16%-50% of species have been globally threatened or driven to the point of extinction since the year 1500 (Isbell et al., 2023). As a result, it is expected that the increasing loss of biodiversity in natural spaces will lead to decrease in ecosystem function and services (Isbell et al., 2023). The lack of reliable solutions is tied partially to the nature of conservation ecology research. Restoration decisions are often made quickly to lessen the effects of biodiversity loss (Buxton et al., 2021). Through this we see restoration resources are often wasted (Buxton et al., 2021). Conservation research also experiences barriers considering the misalignment in priorities of actors in the research process, creating room for less reported, robust and applied science information (Buxton et al., 2021). Implementing systems that decrease waste, maximize restoration success and centre practical solutions are critical in developing solutions for conservation efforts (Buxton et al., 2021). </w:t>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t xml:space="preserve">In the Intergovernmental Science-Policy Platform on Biodiversity and Ecosystem services (IPBES) 2019 report, several direct drivers of biodiversity loss are identified. Land and sea use change, direct exploitation of organisms, climate change, invasive alien species and pollution are all highlighted as major threats to biodiversity globally (IPBES, 2019). Grasslands and savannahs cover 54% of terrestrial landscape and are experiencing the highest rates of land conversion and degradation (IUCN, 2024). Grasslands are globally important due to the amount of endemic and flagship species in addition to their ecosystem services (Wan et al., 2026). Despite the importance of grasslands, they are often excluded in international and national biodiversity plans (IUCN, 2024). Only 10% of nationally determined contributions (NDCs) of the Paris Climate Agreement reference grasslands, while forests are included in 70% of NDCs (IUCN, 2024). </w:t>
      </w: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rPr>
          <w:b w:val="1"/>
          <w:bCs w:val="1"/>
        </w:rPr>
      </w:pPr>
      <w:r w:rsidDel="00000000" w:rsidR="00000000" w:rsidRPr="00000000">
        <w:rPr>
          <w:b w:val="1"/>
          <w:bCs w:val="1"/>
          <w:rtl w:val="0"/>
        </w:rPr>
        <w:t xml:space="preserve">Barriers to Effective Restoration and Knowledge Synthesis</w:t>
      </w:r>
    </w:p>
    <w:p w:rsidR="00000000" w:rsidDel="00000000" w:rsidP="00000000" w:rsidRDefault="00000000" w:rsidRPr="00000000" w14:paraId="0000002C">
      <w:pPr>
        <w:spacing w:line="480" w:lineRule="auto"/>
        <w:rPr>
          <w:b w:val="1"/>
          <w:bCs w:val="1"/>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t xml:space="preserve">Ecosystems are undergoing widespread degradation, threatening biodiversity and the ecosystem services that support climate regulation, nutrient cycling, water filtration, and human well-being (IPBES, 2019). As a result, effective restoration has become a priority for maintaining ecological function and mitigating climate change. Grasslands, in particular, are highly impacted systems despite their importance for carbon storage, agriculture, and ecosystem multifunctionality. However, restoration efforts in these systems remain inconsistent and ambiguous. Success rates are often low, between 0–30% when compared to reference conditions, and outcomes vary widely across studies (Palmer et al., 2020; Wan et al., 2026). This variability is driven by differences in local biotic and abiotic conditions, as well as temporal delays in ecosystem responses. This limits the transferability of restoration strategies due to lag in findings (Wan et al., 2026; Frühstückl, 2025). Additional challenges, including gaps in understanding ecological processes, disconnects between policy and practice, and inconsistent definitions of success, further complicate interpretation of results (Palmer et al., 2020). As a result, restoration knowledge is fragmented, context-dependent, and difficult to synthesize, creating significant barriers to identifying reliable and interoperable solutions.</w:t>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b w:val="1"/>
          <w:bCs w:val="1"/>
        </w:rPr>
      </w:pPr>
      <w:r w:rsidDel="00000000" w:rsidR="00000000" w:rsidRPr="00000000">
        <w:rPr>
          <w:rtl w:val="0"/>
        </w:rPr>
        <w:t xml:space="preserve">Restoration knowledge faces similar barriers. Scientific data and information have been accumulating at an unprecedented rate, but this growth is not always reflected in the knowledge and practices of practitioners (Jeschke et al., 2019). This discrepancy, often referred to as the knowledge–practice gap, appears to be widening as the volume of available information increases without proportional uptake in society (Jeschke et al., 2019). Several factors contribute to this disconnect. Although access to scientific information has improved, other knowledge systems, including traditional and practice-based knowledge, remain less accessible (Jeschke et al., 2019). An additional challenge lies in the integration of grey literature into evidence syntheses. Grey literature including theses, government reports, and unpublished or ongoing research can contain valuable findings, such as null or negative results and diverse methodological approaches (Paez, 2017; Yuki et al., 2024). However, as Paez notes, grey literature is often difficult to locate, access, and systematically include in reviews, which can limit the syntheses of evidence. In this context, systematic reviews that intentionally incorporate grey literature can play a critical role in improving the completeness and accessibility of scientific knowledge (Paez, 2017; Soergel et al., 2009). More broadly, addressing barriers such as limited reproducibility, increasing technical specialization, and publication bias is essential for narrowing the knowledge–practice gap and supporting more effective restoration outcomes (Jeschke et al., 2019).</w:t>
      </w:r>
      <w:r w:rsidDel="00000000" w:rsidR="00000000" w:rsidRPr="00000000">
        <w:rPr>
          <w:rtl w:val="0"/>
        </w:rPr>
      </w:r>
    </w:p>
    <w:p w:rsidR="00000000" w:rsidDel="00000000" w:rsidP="00000000" w:rsidRDefault="00000000" w:rsidRPr="00000000" w14:paraId="00000030">
      <w:pPr>
        <w:spacing w:line="480" w:lineRule="auto"/>
        <w:rPr>
          <w:b w:val="1"/>
          <w:bCs w:val="1"/>
        </w:rPr>
      </w:pPr>
      <w:r w:rsidDel="00000000" w:rsidR="00000000" w:rsidRPr="00000000">
        <w:rPr>
          <w:rtl w:val="0"/>
        </w:rPr>
      </w:r>
    </w:p>
    <w:p w:rsidR="00000000" w:rsidDel="00000000" w:rsidP="00000000" w:rsidRDefault="00000000" w:rsidRPr="00000000" w14:paraId="00000031">
      <w:pPr>
        <w:spacing w:line="480" w:lineRule="auto"/>
        <w:rPr>
          <w:b w:val="1"/>
          <w:bCs w:val="1"/>
        </w:rPr>
      </w:pPr>
      <w:r w:rsidDel="00000000" w:rsidR="00000000" w:rsidRPr="00000000">
        <w:rPr>
          <w:b w:val="1"/>
          <w:bCs w:val="1"/>
          <w:rtl w:val="0"/>
        </w:rPr>
        <w:t xml:space="preserve">Structuring Restoration Knowledge Through Ontologies and KOSs</w:t>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t xml:space="preserve">Restoration ecology is characterized by a fragmented and rapidly expanding body of knowledge, which creates challenges for synthesizing evidence and applying it effectively in practice. Knowledge organization systems (KOSs) offer a potential solution to this problem by providing structured frameworks for representing concepts and relationships within complex domains (Salatino et al., 2025). Systems such as taxonomies and ontologies improve the organization, retrieval, and integration of scientific information, and are already widely used in scientific publishing to connect research outputs across topics, methods, and disciplines. In the context of restoration, applying KOSs enables the structuring of ecological knowledge into semantic frameworks that support clearer navigation, comparison, and interpretation of findings (Kechagioglou et al., 2021). This is particularly important given the volume and diversity of restoration research, which can act as a barrier to its practical use. By organizing this information into interconnected systems, KOSs can help reduce fragmentation and improve accessibility for both researchers and practitioners (Salatino et al., 2025). The Ecolink Model builds on this approach as a domain-specific KOS designed to address fragmentation in restoration knowledge. By synthesizing findings into a structured, retrievable format, it facilitates connections between disparate pieces of information and supports more informed, evidence-based restoration decision-making.</w:t>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t xml:space="preserve">An ontology defines a common vocabulary for researchers who need to share information in a domain. In considering ecological research, ontologies can provide standard taxon naming conventions, resolve outdated naming, apply unique numerical identifiers and integrate ecological databases (Madin et al., 2008). Integrating ontologies in knowledge graphs allow for more ease in queries, where specific information on a subject is required. The NCBI taxonomy, formally known as the Organismal Classification Database is a publicly available database from the National Centre for Biotechnology Information (NCBI) currently representative of 10% of the described species on earth. The database uses names along with genome and genetic data to assign unique identifiers to organisms (Schoch et al., 2020). Taxonomies are particularly important ontologies as naming conventions for organisms do not remain the same over time (Schoch et al., 2020). There are a variety of reasons why species names might change over time therefore, having a mechanism to support variation is crucial in promoting interoperability in restoration ecology (Schoch et al., 2020). NCBI taxonomy applies a unique identifier, called a taxID, to species to further categorize and standardize research (Schoch et al., 2020). This is also the mechanism by which ontologies can make research more machine readable by providing referential identifiers that are unique and permanent (Salatino et al., 2025). Adding this structure to the systematic review domain of science information helps to exemplify the concept of FAIR data, Findable, Accessible, Interoperable and Reusable (Wilkinson, 2016).</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b w:val="1"/>
          <w:bCs w:val="1"/>
        </w:rPr>
      </w:pPr>
      <w:r w:rsidDel="00000000" w:rsidR="00000000" w:rsidRPr="00000000">
        <w:rPr>
          <w:b w:val="1"/>
          <w:bCs w:val="1"/>
          <w:rtl w:val="0"/>
        </w:rPr>
        <w:t xml:space="preserve">Knowledge Graphs and the Ecolink Model</w:t>
      </w:r>
    </w:p>
    <w:p w:rsidR="00000000" w:rsidDel="00000000" w:rsidP="00000000" w:rsidRDefault="00000000" w:rsidRPr="00000000" w14:paraId="00000038">
      <w:pPr>
        <w:spacing w:line="480" w:lineRule="auto"/>
        <w:rPr>
          <w:b w:val="1"/>
          <w:bCs w:val="1"/>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t xml:space="preserve">Knowledge graphs provide a valuable map to aid knowledge discovery (Alamenciak et al., 2026). This is particularly true for environmental science where processes and environmental variables are highly interconnected with the potential to influence one another. In developing a knowledge graph, we can aim to synthesize ecological research into a system of nodes and edges (Alamenciak et al., 2026). These nodes and edges can then facilitate queries, when specified information on a process or species can be accessed with ease. </w:t>
      </w:r>
      <w:r w:rsidDel="00000000" w:rsidR="00000000" w:rsidRPr="00000000">
        <w:rPr>
          <w:rtl w:val="0"/>
        </w:rPr>
        <w:t xml:space="preserve">The Ecolink Model (ELM) is an open -source schema for representing and describing the findings of ecological research (Alamenciak et al., 2026). ELM builds off the existing Biolink Model to integrate and create a flexible graph that can be interacted with through queries (Alamenciak et al., 2026). The model describes relationships between environmental processes, environmental variables and taxa (Alamenciak et al., 2026). The model uses ontologies to increase interoperability (Alamenciak et al., 2026). The Ecolink Model Ontology (ELMO) is an ontology that sorts terms into three main domains: environmental variables, ecosystem types and environmental processes (Almenciak et al., 2026) </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t xml:space="preserve">The quality of knowledge graphs is defined by their effectiveness for their users (Alamenciak et al., 2026). ELM aims to model research findings in a way that prioritizes discovery (Alamenciak et al., 2026). Knowledge graphs provide structure to environmental findings allowing for science information to be communicated in an indexed and findable way (Alamenciak et al., 2026). Knowledge systems exist but can vary between disciplines or within a discipline (Alamenciak et al., 2026). By modeling the system around ontologies, retrievability of key findings are simplified and work in direct benefit to environmental outcomes (Alamenciak et al., 2026). The structured qualities of the ELM model allow for expansion of the built model through existing literature, creating more robust knowledge libraries and increasing operability of science information (Alamenciak et al., 2026). </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jc w:val="center"/>
        <w:rPr/>
      </w:pPr>
      <w:r w:rsidDel="00000000" w:rsidR="00000000" w:rsidRPr="00000000">
        <w:rPr>
          <w:b w:val="1"/>
          <w:bCs w:val="1"/>
          <w:rtl w:val="0"/>
        </w:rPr>
        <w:t xml:space="preserve">Methods</w:t>
      </w:r>
      <w:r w:rsidDel="00000000" w:rsidR="00000000" w:rsidRPr="00000000">
        <w:rPr>
          <w:rtl w:val="0"/>
        </w:rPr>
        <w:t xml:space="preserve"> </w:t>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rPr>
          <w:b w:val="1"/>
          <w:bCs w:val="1"/>
        </w:rPr>
      </w:pPr>
      <w:r w:rsidDel="00000000" w:rsidR="00000000" w:rsidRPr="00000000">
        <w:rPr>
          <w:b w:val="1"/>
          <w:bCs w:val="1"/>
          <w:rtl w:val="0"/>
        </w:rPr>
        <w:t xml:space="preserve">Dataset and </w:t>
      </w:r>
      <w:r w:rsidDel="00000000" w:rsidR="00000000" w:rsidRPr="00000000">
        <w:rPr>
          <w:b w:val="1"/>
          <w:bCs w:val="1"/>
          <w:rtl w:val="0"/>
        </w:rPr>
        <w:t xml:space="preserve">Extraction</w:t>
      </w:r>
    </w:p>
    <w:p w:rsidR="00000000" w:rsidDel="00000000" w:rsidP="00000000" w:rsidRDefault="00000000" w:rsidRPr="00000000" w14:paraId="00000040">
      <w:pPr>
        <w:spacing w:line="480" w:lineRule="auto"/>
        <w:rPr/>
      </w:pP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t xml:space="preserve">ELM is the basic framework used to synthesize articles, but the 2026 article is mainly theoretical. The foundational design choice of the model included the core ecological entities: species, process, measurement and habitats. For each article I first began by reading it in its entirety 1-2 times. From there, I began to manually extract which processes were applied, the environmental variables measured and the species reported. ELM is foundationally tied to the Biolink model as it utilizes the same core association class and qualifiers. These qualifier slots are defined and then combined with other qualifier slots to form compounding slots (Alamenciak et al., 2026). This enables the model to define the type of association and its direction. The types of qualifier slots are derived from the articles and allow for interactions to be defined within articles and with articles that share similar node types. There are several types of subject values used to construct this domain specific knowledge graph. </w:t>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rPr>
          <w:b w:val="1"/>
          <w:bCs w:val="1"/>
        </w:rPr>
      </w:pPr>
      <w:r w:rsidDel="00000000" w:rsidR="00000000" w:rsidRPr="00000000">
        <w:rPr>
          <w:b w:val="1"/>
          <w:bCs w:val="1"/>
          <w:rtl w:val="0"/>
        </w:rPr>
        <w:t xml:space="preserve">Data Schema - Nodes</w:t>
      </w:r>
    </w:p>
    <w:p w:rsidR="00000000" w:rsidDel="00000000" w:rsidP="00000000" w:rsidRDefault="00000000" w:rsidRPr="00000000" w14:paraId="00000044">
      <w:pPr>
        <w:spacing w:line="480" w:lineRule="auto"/>
        <w:rPr>
          <w:b w:val="1"/>
          <w:bCs w:val="1"/>
        </w:rPr>
      </w:pP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t xml:space="preserve">For this use of the ELM model, we implemented the Ecolink Model Ontology’s (ELMO) 4 types of subject values. These subject value types are Article, Process, Environmental Variable and Taxon. To create the graph we first began by defining the article to allow association between subjects and findings. For each of the article nodes, node qualifiers included uid number, article title, article study coordinates and article DOI. Node qualifiers for article nodes were important for identifying the source of associations and for providing context to associations made between nodes. To facilitate the expressivity and operability of the knowledge graph all similar subjects or objects across all of the publications were expressed as a single node. All subjects and objects are represented only a single time under a unique 3 digit identification. For example, species richness is assigned the uid number 105 in the first publication synthesized for this knowledge graph. As publications expressing findings on species richness accumulate, the associations are referential to uid number 105. </w:t>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rPr>
          <w:rtl w:val="0"/>
        </w:rPr>
        <w:t xml:space="preserve">The second node type is Process. This node type defined the process applied in the restoration scenarios defined in the articles. The node qualifiers for processes included the ecosystem process origin, being the type of ecosystem being targeted by the process, and the ecosystem process target, being the target ecosystem after the process is applied. The International Union for Conservation of Nature (IUCN) Global Typology for Earth Ecosystem is used to define ecosystems. To facilitate overlap in the knowledge graph, processes were treated independently of one another unless inherently tied to one another through findings. For example, in some cases grasslands were treated with different types of herbicide but the results of each were explicit to the treatment type. In other cases, lands were mechanically altered and then seeded, for example, so results were reported in relation to both processes happening in combination. In these cases, findings could not be accurately associated with individualized processes. Keeping different applied process types separate is prioritized as processes that worked in combination created niche Process nodes that were unlikely to overlap with other articles, inhibiting operability. If the process type needed to be qualified as “flat land with manure fertilizer” it is unlikely to overlap the exact same with another article, inhibiting operability. </w:t>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t xml:space="preserve">The th</w:t>
      </w:r>
      <w:r w:rsidDel="00000000" w:rsidR="00000000" w:rsidRPr="00000000">
        <w:rPr>
          <w:rtl w:val="0"/>
        </w:rPr>
        <w:t xml:space="preserve">ird subject type is Environmental Variables. The Environmental Variable subjects refer to a set of conditions the environment is experiencing at a given point in time. This included any measured variables in the findings that are not tied to an individual species. This included species diversity, species abundance, bare soil cover and more. Environmental Variable statement qualifiers included the type of environmental variable and the variable wikidata Q number. Environmental variables that have been defined in the wikidata knowledge base were assigned the corresponding Q number. For example species diversity is listed as Q number Q706937. By using a wikidata qualifier more information can be accessed on defined uses of a term and expressivity is increased (Alamenciak et al., 2026). </w:t>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rtl w:val="0"/>
        </w:rPr>
        <w:t xml:space="preserve">The fourth and final subject type under ELMO is taxon. Taxon nodes include any species who saw changes in attribute given the findings of each publication. For a species to be listed under a taxon node, effects to the species had to be explicitly stated. For example, a general increase in bee species does not specify an increase in a listed species of bee. For a taxon node to be formed, details about the specific change in species condition have been stated as part of the results or findings of the article. Taxon subject qualifiers include the species name in binomial nomenclature, the common species name, the NCBI ontology taxon ID number and the species wikidata Q number. Across publication, species common names varied. The chosen common name is selected as either the common name used by the authors in the article or is listed under the most frequently used common name. As some species were not listed in the NCBI taxon ontology, not all noted species received this subject qualifier. In addition, not all species received a wikidata Q number qualifier, though far fewer species were unlisted in wikidata than in the NCBI ontology. Some species were not able to be defined down to the specific subspecies. In these cases, species were listed up until genus and specified as genus sp.</w:t>
      </w: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tbl>
      <w:tblPr>
        <w:tblStyle w:val="Table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920"/>
        <w:gridCol w:w="1320"/>
        <w:gridCol w:w="1890"/>
        <w:gridCol w:w="1410"/>
        <w:gridCol w:w="1230"/>
        <w:tblGridChange w:id="0">
          <w:tblGrid>
            <w:gridCol w:w="720"/>
            <w:gridCol w:w="1920"/>
            <w:gridCol w:w="1320"/>
            <w:gridCol w:w="1890"/>
            <w:gridCol w:w="141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Node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Node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Ecosystem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Taxon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Taxon CURIE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Using Cattle Grazing to Restore a Rough Fescue Prairie Invaded by Kentucky Bluegrass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bfe1f6" w:val="clear"/>
              </w:rPr>
            </w:pPr>
            <w:r w:rsidDel="00000000" w:rsidR="00000000" w:rsidRPr="00000000">
              <w:rPr>
                <w:shd w:fill="bfe1f6" w:val="clear"/>
                <w:rtl w:val="0"/>
              </w:rPr>
              <w:t xml:space="preserve">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Temperate Subhumid Grassland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Intensional grazing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4edbc" w:val="clear"/>
              </w:rPr>
            </w:pPr>
            <w:r w:rsidDel="00000000" w:rsidR="00000000" w:rsidRPr="00000000">
              <w:rPr>
                <w:shd w:fill="d4edbc" w:val="clea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Community Resistance to invasive 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fe5a0" w:val="clear"/>
              </w:rPr>
            </w:pPr>
            <w:r w:rsidDel="00000000" w:rsidR="00000000" w:rsidRPr="00000000">
              <w:rPr>
                <w:shd w:fill="ffe5a0" w:val="clear"/>
                <w:rtl w:val="0"/>
              </w:rPr>
              <w:t xml:space="preserve">Environmental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Litter Percent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fe5a0" w:val="clear"/>
              </w:rPr>
            </w:pPr>
            <w:r w:rsidDel="00000000" w:rsidR="00000000" w:rsidRPr="00000000">
              <w:rPr>
                <w:shd w:fill="ffe5a0" w:val="clear"/>
                <w:rtl w:val="0"/>
              </w:rPr>
              <w:t xml:space="preserve">Environmental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Poa pratensis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6cff2" w:val="clear"/>
              </w:rPr>
            </w:pPr>
            <w:r w:rsidDel="00000000" w:rsidR="00000000" w:rsidRPr="00000000">
              <w:rPr>
                <w:shd w:fill="e6cff2" w:val="clear"/>
                <w:rtl w:val="0"/>
              </w:rPr>
              <w:t xml:space="preserve">Taxon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Kentucky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Bluegrass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NCBITaxon:4545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Festuca hallii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6cff2" w:val="clear"/>
              </w:rPr>
            </w:pPr>
            <w:r w:rsidDel="00000000" w:rsidR="00000000" w:rsidRPr="00000000">
              <w:rPr>
                <w:shd w:fill="e6cff2" w:val="clear"/>
                <w:rtl w:val="0"/>
              </w:rPr>
              <w:t xml:space="preserve">Taxon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Plains Rough Fescue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NCBITaxon:1234500</w:t>
            </w:r>
          </w:p>
        </w:tc>
      </w:tr>
    </w:tbl>
    <w:p w:rsidR="00000000" w:rsidDel="00000000" w:rsidP="00000000" w:rsidRDefault="00000000" w:rsidRPr="00000000" w14:paraId="00000078">
      <w:pPr>
        <w:spacing w:line="480" w:lineRule="auto"/>
        <w:rPr/>
      </w:pPr>
      <w:r w:rsidDel="00000000" w:rsidR="00000000" w:rsidRPr="00000000">
        <w:rPr>
          <w:rtl w:val="0"/>
        </w:rPr>
        <w:t xml:space="preserve">Figure 1: Simplified node structure for ELM. </w:t>
      </w:r>
    </w:p>
    <w:p w:rsidR="00000000" w:rsidDel="00000000" w:rsidP="00000000" w:rsidRDefault="00000000" w:rsidRPr="00000000" w14:paraId="00000079">
      <w:pPr>
        <w:spacing w:line="480" w:lineRule="auto"/>
        <w:rPr/>
      </w:pPr>
      <w:r w:rsidDel="00000000" w:rsidR="00000000" w:rsidRPr="00000000">
        <w:rPr>
          <w:rtl w:val="0"/>
        </w:rPr>
      </w:r>
    </w:p>
    <w:p w:rsidR="00000000" w:rsidDel="00000000" w:rsidP="00000000" w:rsidRDefault="00000000" w:rsidRPr="00000000" w14:paraId="0000007A">
      <w:pPr>
        <w:spacing w:line="480" w:lineRule="auto"/>
        <w:rPr>
          <w:b w:val="1"/>
          <w:bCs w:val="1"/>
        </w:rPr>
      </w:pPr>
      <w:r w:rsidDel="00000000" w:rsidR="00000000" w:rsidRPr="00000000">
        <w:rPr>
          <w:b w:val="1"/>
          <w:bCs w:val="1"/>
          <w:rtl w:val="0"/>
        </w:rPr>
        <w:t xml:space="preserve">Data Schema - Edges</w:t>
      </w:r>
    </w:p>
    <w:p w:rsidR="00000000" w:rsidDel="00000000" w:rsidP="00000000" w:rsidRDefault="00000000" w:rsidRPr="00000000" w14:paraId="0000007B">
      <w:pPr>
        <w:spacing w:line="480" w:lineRule="auto"/>
        <w:rPr/>
      </w:pP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t xml:space="preserve">Defining edges between nodes is the mechanism in which subjects and qualifiers can be joined to make compounding statements. An individual edge binds two subjects together to form a finding that shows the nature of the relationship, the direction of change and the qualifying information to accompany this statement. Edges can be broken down into the following qualifiers: uid number, to, from, type of association, knowledge level, ecosystem context, reported in, taxon attribute and conditions. In accompanying edge associations with qualifying information, we can help to add context to the finding. This is particularly important in ecological and restoration science information as links between processes and impacts can have nuance and lack black and white links. As the network is built, a process's impacts on species and environmental conditions can be explicitly shown, and also how these impacts can cascade and alter related subjects from other publication findings. </w:t>
      </w:r>
    </w:p>
    <w:p w:rsidR="00000000" w:rsidDel="00000000" w:rsidP="00000000" w:rsidRDefault="00000000" w:rsidRPr="00000000" w14:paraId="0000007D">
      <w:pPr>
        <w:spacing w:line="480" w:lineRule="auto"/>
        <w:rPr/>
      </w:pP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t xml:space="preserve">The UID number of a node is a unique 4 digit number for indexing purposes. This gives every intersubject connection a defined number to be traced to. The "to” and “from” qualifiers are specifying the subject that the association is being made between, this being the unique node UID number. The “from” qualifier defined the domain that is facilitating the association and the “to” qualifier represented the range of the association. The type qualifier discusses the type of association being drawn between the two subjects. For the construction of this knowledge graph built under the semantic of the ELM, 5 different association types were defined. These edge types are: Described_outcome_of, Positively_associated_with, Negatively_associated_with, Positively_correlated_with and Inversely_correlated_with (Figure 2). </w:t>
      </w:r>
      <w:r w:rsidDel="00000000" w:rsidR="00000000" w:rsidRPr="00000000">
        <w:rPr>
          <w:rtl w:val="0"/>
        </w:rPr>
      </w:r>
    </w:p>
    <w:p w:rsidR="00000000" w:rsidDel="00000000" w:rsidP="00000000" w:rsidRDefault="00000000" w:rsidRPr="00000000" w14:paraId="0000007F">
      <w:pPr>
        <w:spacing w:line="48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Edge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Described_outcome_of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show the connection between the article and the process(es) of that article.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Positively_associated_with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between process and subject. Shows that the listed process caused an increase in the magnitude or intensity of a subject.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Subjects being acted on by the process must be either a taxon,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Negatively_associated_with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between a given process and a subject. Shows the process caused a decrease in the magnitude or intensity of that subject.</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Subjects being acted on by the process must be either a taxon, variable.</w:t>
            </w:r>
          </w:p>
          <w:p w:rsidR="00000000" w:rsidDel="00000000" w:rsidP="00000000" w:rsidRDefault="00000000" w:rsidRPr="00000000" w14:paraId="0000008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Positively_correlated_with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show how an environmental variable or taxon is correlated with a change in another environmental variable or taxon in the same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Inversely_correlated_with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between environmental variable and taxon node types where one is inversely impacting the other</w:t>
            </w:r>
          </w:p>
        </w:tc>
      </w:tr>
    </w:tbl>
    <w:p w:rsidR="00000000" w:rsidDel="00000000" w:rsidP="00000000" w:rsidRDefault="00000000" w:rsidRPr="00000000" w14:paraId="00000092">
      <w:pPr>
        <w:spacing w:line="480" w:lineRule="auto"/>
        <w:rPr/>
      </w:pPr>
      <w:r w:rsidDel="00000000" w:rsidR="00000000" w:rsidRPr="00000000">
        <w:rPr>
          <w:rtl w:val="0"/>
        </w:rPr>
        <w:t xml:space="preserve">Figure 2: edge association types and description. </w:t>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rPr/>
      </w:pPr>
      <w:r w:rsidDel="00000000" w:rsidR="00000000" w:rsidRPr="00000000">
        <w:rPr>
          <w:rtl w:val="0"/>
        </w:rPr>
        <w:t xml:space="preserve">Knowledge level speaks to the level in which we can make associations between subjects and objects. Knowledge levels are only defined in associations between Process, Taxon and Environmental Variables subjects. Knowledge level qualifiers are not assigned in edges between articles and processes. As per The Ecolink Model semantics, there are two different knowledge levels utilized to construct this knowledge graph. Statistical is a knowledge level used when statistical significance can be assigned. In restoration papers, this indicates that the magnitude of the change had a p-value of 0.05 or below. A p-value of 0.05 indicates a 95% likelihood that the results observed are statistically significant. All findings from publications that had a p-value of 0.05 or below were qualified as statistical association knowledge level. Observational knowledge level is assigned to any association made where findings stated the presence of a change in magnitude between subjects but could not support the observation statistically. Observational knowledge level is important to implement into the model in restoration ecology because valuable findings can not always be supported statistically. In showing observation associations, we facilitate operability in cases where several studies may have come to a similar conclusion on the impacts of a process, but are not able to individually assign a statistical value to the effects. Similarly it highlights gaps in the literature and enables for areas of future research to be identified for restoration efforts. </w:t>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rPr/>
      </w:pPr>
      <w:r w:rsidDel="00000000" w:rsidR="00000000" w:rsidRPr="00000000">
        <w:rPr>
          <w:rtl w:val="0"/>
        </w:rPr>
        <w:t xml:space="preserve">Ecosystem context qualifier shows the IUCN ecosystem function group topology the association is observed in. This qualifier provides ecosystem context to defined edges by providing conditions. As individual subjects appear over multiple articles but share a single node UID number, ecosystem context qualifier for the edge incorporates back in the specific conditions of the findings. Reported In is an edge qualifier that adds operability to the model by explicitly stating where the association is derived from. For every association made, the DOI of the article showing the finding is recorded, to help when referencing the original literature. Similarly to the ecosystem context edge qualifier, taxon attribute is a qualifier necessary to see how a given association is impacting a taxon when referencing overlapping taxon nodes. Species expression can be observed in different ways like abundance, percent cover, aboveground biomass, canopy cover and more. The Taxon attribute qualifier is stated for every edge containing a taxon as part of the domain or range and shows how a process, environment variable or taxon subject are impacting a species. This qualifier is important for ecology as the goal of a restoration effort can vary across the same species and increased seed abundance, for example, should not be associated with an explicit increase of the species if there is no evidence to support that inference. Conditions were added as a qualifier to wrangle findings that were observed but required additional information. This is particularly important for restoration as in some publications, a process increased the expression of a species for a given time period and then inhibited it after that point. A knowledge graph for restoration ecology needs to incorporate conditions to findings to help fight the ambiguity of associations. </w:t>
      </w:r>
    </w:p>
    <w:p w:rsidR="00000000" w:rsidDel="00000000" w:rsidP="00000000" w:rsidRDefault="00000000" w:rsidRPr="00000000" w14:paraId="00000097">
      <w:pPr>
        <w:spacing w:line="480" w:lineRule="auto"/>
        <w:rPr/>
      </w:pPr>
      <w:r w:rsidDel="00000000" w:rsidR="00000000" w:rsidRPr="00000000">
        <w:rPr>
          <w:rtl w:val="0"/>
        </w:rPr>
      </w:r>
    </w:p>
    <w:p w:rsidR="00000000" w:rsidDel="00000000" w:rsidP="00000000" w:rsidRDefault="00000000" w:rsidRPr="00000000" w14:paraId="00000098">
      <w:pPr>
        <w:spacing w:line="480" w:lineRule="auto"/>
        <w:rPr/>
      </w:pPr>
      <w:r w:rsidDel="00000000" w:rsidR="00000000" w:rsidRPr="00000000">
        <w:rPr>
          <w:rtl w:val="0"/>
        </w:rPr>
        <w:t xml:space="preserve">The node and edge sheets were imported into rStudio (Posit team, 2025). The packages used were dplyr (Wickham et al., 2026), stringr (Wickham, 2025), ggplot2 (Wickham, 2016)., tidyverse (Wickham et al., 2019), igraph (Csárdi &amp; Tamás, 2006), network (Butts, 2015), sna (Butts, 2023), ndtv (Cranmer et al., 2024)., and intergraph (Bojanowski, 2022). The edge and node sheets are available as part of the supplemental information of this paper (S1_nodes.csv, S2_edges.csv). </w:t>
      </w:r>
    </w:p>
    <w:p w:rsidR="00000000" w:rsidDel="00000000" w:rsidP="00000000" w:rsidRDefault="00000000" w:rsidRPr="00000000" w14:paraId="00000099">
      <w:pPr>
        <w:spacing w:line="480" w:lineRule="auto"/>
        <w:rPr/>
      </w:pPr>
      <w:r w:rsidDel="00000000" w:rsidR="00000000" w:rsidRPr="00000000">
        <w:rPr>
          <w:rtl w:val="0"/>
        </w:rPr>
      </w:r>
    </w:p>
    <w:p w:rsidR="00000000" w:rsidDel="00000000" w:rsidP="00000000" w:rsidRDefault="00000000" w:rsidRPr="00000000" w14:paraId="0000009A">
      <w:pPr>
        <w:spacing w:line="480" w:lineRule="auto"/>
        <w:jc w:val="cente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9B">
      <w:pPr>
        <w:spacing w:line="480" w:lineRule="auto"/>
        <w:rPr>
          <w:b w:val="1"/>
          <w:bCs w:val="1"/>
        </w:rPr>
      </w:pPr>
      <w:r w:rsidDel="00000000" w:rsidR="00000000" w:rsidRPr="00000000">
        <w:rPr>
          <w:b w:val="1"/>
          <w:bCs w:val="1"/>
          <w:rtl w:val="0"/>
        </w:rPr>
        <w:t xml:space="preserve">Descriptive Statistics</w:t>
      </w:r>
    </w:p>
    <w:p w:rsidR="00000000" w:rsidDel="00000000" w:rsidP="00000000" w:rsidRDefault="00000000" w:rsidRPr="00000000" w14:paraId="0000009C">
      <w:pPr>
        <w:spacing w:line="480" w:lineRule="auto"/>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Saskatchewan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British Columbia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Manitoba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A9">
      <w:pPr>
        <w:spacing w:line="240" w:lineRule="auto"/>
        <w:rPr/>
      </w:pPr>
      <w:r w:rsidDel="00000000" w:rsidR="00000000" w:rsidRPr="00000000">
        <w:rPr>
          <w:rtl w:val="0"/>
        </w:rPr>
        <w:t xml:space="preserve">Figure 3: How many articles were based in each Canadian Province. </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Lasioglossum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Megachile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Sphecodes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Ceratina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Elymus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Festuca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bl>
    <w:p w:rsidR="00000000" w:rsidDel="00000000" w:rsidP="00000000" w:rsidRDefault="00000000" w:rsidRPr="00000000" w14:paraId="000000C2">
      <w:pPr>
        <w:spacing w:line="240" w:lineRule="auto"/>
        <w:rPr/>
      </w:pPr>
      <w:r w:rsidDel="00000000" w:rsidR="00000000" w:rsidRPr="00000000">
        <w:rPr>
          <w:rtl w:val="0"/>
        </w:rPr>
        <w:t xml:space="preserve">Figure 4: Top 10 most common genus of listed species. </w:t>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IUCN Global Topology Ecosystem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Ecosystem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Ecosystem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Temperate subhumid grasslands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Urban and industrial ecosystems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Sown pastures and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Permanent marshes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Annual croplands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D7">
      <w:pPr>
        <w:spacing w:line="240" w:lineRule="auto"/>
        <w:rPr/>
      </w:pPr>
      <w:r w:rsidDel="00000000" w:rsidR="00000000" w:rsidRPr="00000000">
        <w:rPr>
          <w:rtl w:val="0"/>
        </w:rPr>
        <w:t xml:space="preserve">Figure 5: Listed ecosystem origin and target for synthesized articles. </w:t>
      </w: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Edge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POSITIVELY_ASSOCIATED_WITH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POSITIVELY_CORRELATED_WITH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NEGATIVELY_ASSOCIATED_WITH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DESCRIBES_OUTCOME_OF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INVERSELY_CORRELATED_WITH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r>
    </w:tbl>
    <w:p w:rsidR="00000000" w:rsidDel="00000000" w:rsidP="00000000" w:rsidRDefault="00000000" w:rsidRPr="00000000" w14:paraId="000000E6">
      <w:pPr>
        <w:spacing w:line="240" w:lineRule="auto"/>
        <w:rPr/>
      </w:pPr>
      <w:r w:rsidDel="00000000" w:rsidR="00000000" w:rsidRPr="00000000">
        <w:rPr>
          <w:rtl w:val="0"/>
        </w:rPr>
        <w:t xml:space="preserve">Figure 6: Number of each edge type reported. </w:t>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Taxon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Abundance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 Abundance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Emergents Percent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Abovegrass Biomass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Tiller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Year Return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Predation Mortality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0FF">
      <w:pPr>
        <w:spacing w:line="240" w:lineRule="auto"/>
        <w:rPr/>
      </w:pPr>
      <w:r w:rsidDel="00000000" w:rsidR="00000000" w:rsidRPr="00000000">
        <w:rPr>
          <w:rtl w:val="0"/>
        </w:rPr>
        <w:t xml:space="preserve">Figure 7: Most commonly reported taxon attributes in associations. </w:t>
      </w:r>
      <w:r w:rsidDel="00000000" w:rsidR="00000000" w:rsidRPr="00000000">
        <w:rPr>
          <w:rtl w:val="0"/>
        </w:rPr>
      </w:r>
    </w:p>
    <w:p w:rsidR="00000000" w:rsidDel="00000000" w:rsidP="00000000" w:rsidRDefault="00000000" w:rsidRPr="00000000" w14:paraId="00000100">
      <w:pPr>
        <w:spacing w:line="240" w:lineRule="auto"/>
        <w:rPr>
          <w:u w:val="single"/>
        </w:rPr>
      </w:pPr>
      <w:r w:rsidDel="00000000" w:rsidR="00000000" w:rsidRPr="00000000">
        <w:rPr>
          <w:rtl w:val="0"/>
        </w:rPr>
      </w:r>
    </w:p>
    <w:p w:rsidR="00000000" w:rsidDel="00000000" w:rsidP="00000000" w:rsidRDefault="00000000" w:rsidRPr="00000000" w14:paraId="00000101">
      <w:pPr>
        <w:spacing w:line="240" w:lineRule="auto"/>
        <w:rPr>
          <w:b w:val="1"/>
          <w:bCs w:val="1"/>
        </w:rPr>
      </w:pPr>
      <w:r w:rsidDel="00000000" w:rsidR="00000000" w:rsidRPr="00000000">
        <w:rPr>
          <w:rtl w:val="0"/>
        </w:rPr>
      </w:r>
    </w:p>
    <w:p w:rsidR="00000000" w:rsidDel="00000000" w:rsidP="00000000" w:rsidRDefault="00000000" w:rsidRPr="00000000" w14:paraId="00000102">
      <w:pPr>
        <w:spacing w:line="240" w:lineRule="auto"/>
        <w:rPr>
          <w:b w:val="1"/>
          <w:bCs w:val="1"/>
        </w:rPr>
      </w:pPr>
      <w:r w:rsidDel="00000000" w:rsidR="00000000" w:rsidRPr="00000000">
        <w:rPr>
          <w:b w:val="1"/>
          <w:bCs w:val="1"/>
          <w:rtl w:val="0"/>
        </w:rPr>
        <w:t xml:space="preserve">Measures of Centrality</w:t>
      </w:r>
    </w:p>
    <w:p w:rsidR="00000000" w:rsidDel="00000000" w:rsidP="00000000" w:rsidRDefault="00000000" w:rsidRPr="00000000" w14:paraId="00000103">
      <w:pPr>
        <w:spacing w:line="240" w:lineRule="auto"/>
        <w:rPr>
          <w:b w:val="1"/>
          <w:bCs w:val="1"/>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Node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Node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Degree of Centrality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Floral Abundance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Environmental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Nesting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Environmental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Fertilizer application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Herbicide application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 richness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Environmental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Diverse Seeding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Enriched Topographic Microsites for Improved Native Grass and Forb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Rodent Density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Environmental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Biological fauna control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r>
    </w:tbl>
    <w:p w:rsidR="00000000" w:rsidDel="00000000" w:rsidP="00000000" w:rsidRDefault="00000000" w:rsidRPr="00000000" w14:paraId="00000126">
      <w:pPr>
        <w:spacing w:line="240" w:lineRule="auto"/>
        <w:rPr/>
      </w:pPr>
      <w:r w:rsidDel="00000000" w:rsidR="00000000" w:rsidRPr="00000000">
        <w:rPr>
          <w:rtl w:val="0"/>
        </w:rPr>
        <w:t xml:space="preserve">Figure 8: Top 10 nodes of the highest degree of centrality. </w:t>
      </w:r>
    </w:p>
    <w:p w:rsidR="00000000" w:rsidDel="00000000" w:rsidP="00000000" w:rsidRDefault="00000000" w:rsidRPr="00000000" w14:paraId="00000127">
      <w:pPr>
        <w:spacing w:line="240" w:lineRule="auto"/>
        <w:rPr/>
      </w:pP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 Degree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Fertilizer application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Herbicide application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Diverse Seeding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Biological fauna control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Broadcast seeding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Glyphosate application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bl>
    <w:p w:rsidR="00000000" w:rsidDel="00000000" w:rsidP="00000000" w:rsidRDefault="00000000" w:rsidRPr="00000000" w14:paraId="0000013B">
      <w:pPr>
        <w:spacing w:line="240" w:lineRule="auto"/>
        <w:rPr/>
      </w:pPr>
      <w:r w:rsidDel="00000000" w:rsidR="00000000" w:rsidRPr="00000000">
        <w:rPr>
          <w:rtl w:val="0"/>
        </w:rPr>
        <w:t xml:space="preserve">Figure 9: Top 8 highest out degrees for process nodes. </w:t>
      </w:r>
    </w:p>
    <w:p w:rsidR="00000000" w:rsidDel="00000000" w:rsidP="00000000" w:rsidRDefault="00000000" w:rsidRPr="00000000" w14:paraId="0000013C">
      <w:pPr>
        <w:spacing w:line="240" w:lineRule="auto"/>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Degree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Floral abundance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Nesting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 richness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Native species survivorship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Litter percent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Bare soil percent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Chlorophyll a fluorescence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Soil Moisture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bl>
    <w:p w:rsidR="00000000" w:rsidDel="00000000" w:rsidP="00000000" w:rsidRDefault="00000000" w:rsidRPr="00000000" w14:paraId="00000150">
      <w:pPr>
        <w:spacing w:line="240" w:lineRule="auto"/>
        <w:rPr/>
      </w:pPr>
      <w:r w:rsidDel="00000000" w:rsidR="00000000" w:rsidRPr="00000000">
        <w:rPr>
          <w:rtl w:val="0"/>
        </w:rPr>
        <w:t xml:space="preserve">Figure 10: Top 8 highest in degree for Environmental Variable nodes.</w:t>
      </w:r>
    </w:p>
    <w:p w:rsidR="00000000" w:rsidDel="00000000" w:rsidP="00000000" w:rsidRDefault="00000000" w:rsidRPr="00000000" w14:paraId="00000151">
      <w:pPr>
        <w:spacing w:line="240" w:lineRule="auto"/>
        <w:rPr/>
      </w:pPr>
      <w:r w:rsidDel="00000000" w:rsidR="00000000" w:rsidRPr="00000000">
        <w:rPr>
          <w:rtl w:val="0"/>
        </w:rPr>
      </w:r>
    </w:p>
    <w:p w:rsidR="00000000" w:rsidDel="00000000" w:rsidP="00000000" w:rsidRDefault="00000000" w:rsidRPr="00000000" w14:paraId="00000152">
      <w:pPr>
        <w:spacing w:line="240" w:lineRule="auto"/>
        <w:rPr>
          <w:u w:val="single"/>
        </w:rPr>
      </w:pPr>
      <w:r w:rsidDel="00000000" w:rsidR="00000000" w:rsidRPr="00000000">
        <w:rPr>
          <w:rtl w:val="0"/>
        </w:rPr>
      </w:r>
    </w:p>
    <w:p w:rsidR="00000000" w:rsidDel="00000000" w:rsidP="00000000" w:rsidRDefault="00000000" w:rsidRPr="00000000" w14:paraId="00000153">
      <w:pPr>
        <w:spacing w:line="240" w:lineRule="auto"/>
        <w:rPr>
          <w:b w:val="1"/>
          <w:bCs w:val="1"/>
        </w:rPr>
      </w:pPr>
      <w:r w:rsidDel="00000000" w:rsidR="00000000" w:rsidRPr="00000000">
        <w:rPr>
          <w:b w:val="1"/>
          <w:bCs w:val="1"/>
          <w:rtl w:val="0"/>
        </w:rPr>
        <w:t xml:space="preserve">IUCN Specified Species</w:t>
      </w:r>
    </w:p>
    <w:p w:rsidR="00000000" w:rsidDel="00000000" w:rsidP="00000000" w:rsidRDefault="00000000" w:rsidRPr="00000000" w14:paraId="00000154">
      <w:pPr>
        <w:spacing w:line="240" w:lineRule="auto"/>
        <w:rPr>
          <w:u w:val="single"/>
        </w:rPr>
      </w:pPr>
      <w:r w:rsidDel="00000000" w:rsidR="00000000" w:rsidRPr="00000000">
        <w:rPr>
          <w:rtl w:val="0"/>
        </w:rPr>
      </w:r>
    </w:p>
    <w:p w:rsidR="00000000" w:rsidDel="00000000" w:rsidP="00000000" w:rsidRDefault="00000000" w:rsidRPr="00000000" w14:paraId="00000155">
      <w:pPr>
        <w:spacing w:line="240" w:lineRule="auto"/>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IUCN 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 Name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Least Concern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 bimaculatus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Two-spotted bumble bee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 citrinus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Lemon cuckoo bumblebee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 impatiens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 eastern bumblebee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 rufocinctus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Red-belted bumblebee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Poa pratensis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Kentucky bluegrass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Achillea millefolium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 yarrow</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 borealis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Northern amber bumble bee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 griseocollis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Brown-belted bumblebee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 vagans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Half-black Bumble Bee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Helianthus divaricatus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Woodland sunflower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Acer saccharum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Sugar Maple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Poa palustris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Fowl Bluegrass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Asclepias syriaca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 milkweed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Euthamia graminifolia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Grass-leaved goldenrod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Symphyotrichum lanceolatum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Panicled aster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Equisetum arvense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Horsetail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Carex aquatilis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sedge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Rosa acicularis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Prickly rose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Bouteloua gracilis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 Grama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Vulnerable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Bombus terricola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Yellow-banded bumble bee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Critically Endangered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Bombus variabilis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 Cuckoo Bumble Bee</w:t>
            </w:r>
          </w:p>
        </w:tc>
      </w:tr>
    </w:tbl>
    <w:p w:rsidR="00000000" w:rsidDel="00000000" w:rsidP="00000000" w:rsidRDefault="00000000" w:rsidRPr="00000000" w14:paraId="00000199">
      <w:pPr>
        <w:spacing w:line="480" w:lineRule="auto"/>
        <w:rPr/>
      </w:pPr>
      <w:r w:rsidDel="00000000" w:rsidR="00000000" w:rsidRPr="00000000">
        <w:rPr>
          <w:rtl w:val="0"/>
        </w:rPr>
        <w:t xml:space="preserve">Figure 11: IUCN designated species. </w:t>
      </w:r>
    </w:p>
    <w:p w:rsidR="00000000" w:rsidDel="00000000" w:rsidP="00000000" w:rsidRDefault="00000000" w:rsidRPr="00000000" w14:paraId="0000019A">
      <w:pPr>
        <w:spacing w:line="480" w:lineRule="auto"/>
        <w:rPr/>
      </w:pPr>
      <w:r w:rsidDel="00000000" w:rsidR="00000000" w:rsidRPr="00000000">
        <w:rPr>
          <w:rtl w:val="0"/>
        </w:rPr>
      </w:r>
    </w:p>
    <w:p w:rsidR="00000000" w:rsidDel="00000000" w:rsidP="00000000" w:rsidRDefault="00000000" w:rsidRPr="00000000" w14:paraId="0000019B">
      <w:pPr>
        <w:spacing w:line="480" w:lineRule="auto"/>
        <w:jc w:val="center"/>
        <w:rPr>
          <w:b w:val="1"/>
          <w:bCs w:val="1"/>
        </w:rPr>
      </w:pPr>
      <w:r w:rsidDel="00000000" w:rsidR="00000000" w:rsidRPr="00000000">
        <w:rPr>
          <w:b w:val="1"/>
          <w:bCs w:val="1"/>
          <w:rtl w:val="0"/>
        </w:rPr>
        <w:t xml:space="preserve">Discussion</w:t>
      </w:r>
    </w:p>
    <w:p w:rsidR="00000000" w:rsidDel="00000000" w:rsidP="00000000" w:rsidRDefault="00000000" w:rsidRPr="00000000" w14:paraId="0000019C">
      <w:pPr>
        <w:spacing w:line="480" w:lineRule="auto"/>
        <w:rPr>
          <w:b w:val="1"/>
          <w:bCs w:val="1"/>
        </w:rPr>
      </w:pPr>
      <w:r w:rsidDel="00000000" w:rsidR="00000000" w:rsidRPr="00000000">
        <w:rPr>
          <w:rtl w:val="0"/>
        </w:rPr>
      </w:r>
    </w:p>
    <w:p w:rsidR="00000000" w:rsidDel="00000000" w:rsidP="00000000" w:rsidRDefault="00000000" w:rsidRPr="00000000" w14:paraId="0000019D">
      <w:pPr>
        <w:spacing w:line="480" w:lineRule="auto"/>
        <w:rPr>
          <w:b w:val="1"/>
          <w:bCs w:val="1"/>
        </w:rPr>
      </w:pPr>
      <w:r w:rsidDel="00000000" w:rsidR="00000000" w:rsidRPr="00000000">
        <w:rPr>
          <w:b w:val="1"/>
          <w:bCs w:val="1"/>
          <w:rtl w:val="0"/>
        </w:rPr>
        <w:t xml:space="preserve">Descriptive Characteristics of the Dataset</w:t>
      </w:r>
    </w:p>
    <w:p w:rsidR="00000000" w:rsidDel="00000000" w:rsidP="00000000" w:rsidRDefault="00000000" w:rsidRPr="00000000" w14:paraId="0000019E">
      <w:pPr>
        <w:spacing w:line="480" w:lineRule="auto"/>
        <w:rPr/>
      </w:pPr>
      <w:r w:rsidDel="00000000" w:rsidR="00000000" w:rsidRPr="00000000">
        <w:rPr>
          <w:rtl w:val="0"/>
        </w:rPr>
      </w:r>
    </w:p>
    <w:p w:rsidR="00000000" w:rsidDel="00000000" w:rsidP="00000000" w:rsidRDefault="00000000" w:rsidRPr="00000000" w14:paraId="0000019F">
      <w:pPr>
        <w:spacing w:line="480" w:lineRule="auto"/>
        <w:rPr/>
      </w:pPr>
      <w:r w:rsidDel="00000000" w:rsidR="00000000" w:rsidRPr="00000000">
        <w:rPr>
          <w:rtl w:val="0"/>
        </w:rPr>
        <w:t xml:space="preserve">20 Canadian grassland restoration articles were randomly selected from a review of 308 restoration studies for synthesis (Alamenciak et al., 2023). Articles varied in target species and restoration process but were similar in ecosystem context. All research occurred in Alberta, Ontario, Saskatchewan, British Columbia or Manitoba (Figure 3). Articles selected ranged from publication dates between 1998 and 2019. Articles differed in monitoring period, but a majority were 1-5 years after restoration effort (55%; n = 11), with a few monitoring a year or less (30%; n = 6) or 5-10 years after restoration </w:t>
      </w:r>
      <w:r w:rsidDel="00000000" w:rsidR="00000000" w:rsidRPr="00000000">
        <w:rPr>
          <w:rtl w:val="0"/>
        </w:rPr>
        <w:t xml:space="preserve">effort</w:t>
      </w:r>
      <w:r w:rsidDel="00000000" w:rsidR="00000000" w:rsidRPr="00000000">
        <w:rPr>
          <w:rtl w:val="0"/>
        </w:rPr>
        <w:t xml:space="preserve"> (15%, n = 3) . All articles selected for synthesis had to follow a similar structure of applied process and measured ecosystem variables and target species to enable synthesis into ELM. Any article that included uncertainty around the measure of applied process was removed from the article synthesis pool. </w:t>
      </w:r>
    </w:p>
    <w:p w:rsidR="00000000" w:rsidDel="00000000" w:rsidP="00000000" w:rsidRDefault="00000000" w:rsidRPr="00000000" w14:paraId="000001A0">
      <w:pPr>
        <w:spacing w:line="480" w:lineRule="auto"/>
        <w:rPr/>
      </w:pPr>
      <w:r w:rsidDel="00000000" w:rsidR="00000000" w:rsidRPr="00000000">
        <w:rPr>
          <w:rtl w:val="0"/>
        </w:rPr>
      </w:r>
    </w:p>
    <w:p w:rsidR="00000000" w:rsidDel="00000000" w:rsidP="00000000" w:rsidRDefault="00000000" w:rsidRPr="00000000" w14:paraId="000001A1">
      <w:pPr>
        <w:spacing w:line="480" w:lineRule="auto"/>
        <w:rPr/>
      </w:pPr>
      <w:r w:rsidDel="00000000" w:rsidR="00000000" w:rsidRPr="00000000">
        <w:rPr>
          <w:rtl w:val="0"/>
        </w:rPr>
        <w:t xml:space="preserve">The top 8 of the most common genus were all insects due to the disproportionately large quantity of bee species reported in 2 of the articles as compared to all other articles. In the publication </w:t>
      </w:r>
      <w:r w:rsidDel="00000000" w:rsidR="00000000" w:rsidRPr="00000000">
        <w:rPr>
          <w:i w:val="1"/>
          <w:iCs w:val="1"/>
          <w:rtl w:val="0"/>
        </w:rPr>
        <w:t xml:space="preserve">“Restored native prairie supports abundant and species-rich native bee communities on conventional farms”</w:t>
      </w:r>
      <w:r w:rsidDel="00000000" w:rsidR="00000000" w:rsidRPr="00000000">
        <w:rPr>
          <w:rtl w:val="0"/>
        </w:rPr>
        <w:t xml:space="preserve">, there were a total of 109 bee species recorded (Patterson et al., 2019). In the second bee targeted publication “</w:t>
      </w:r>
      <w:r w:rsidDel="00000000" w:rsidR="00000000" w:rsidRPr="00000000">
        <w:rPr>
          <w:i w:val="1"/>
          <w:iCs w:val="1"/>
          <w:rtl w:val="0"/>
        </w:rPr>
        <w:t xml:space="preserve">Rapid initial recovery and long-term persistence of a bee community in a former landfill</w:t>
      </w:r>
      <w:r w:rsidDel="00000000" w:rsidR="00000000" w:rsidRPr="00000000">
        <w:rPr>
          <w:rtl w:val="0"/>
        </w:rPr>
        <w:t xml:space="preserve">”, there were unique 72 recorded bee species, not including species that overlapped with Patterson et al (Onuferko et al., 2017). These two articles accounted for just over half (59.0%; n = 181) of the total species reported (n = 307). Elymus and Festuca species were broadly represented through most of the publications, though less unique species reported when compared to bees. They both represent many vegetative grassland species present in Canadian grasslands so are recorded across many articles. </w:t>
      </w:r>
    </w:p>
    <w:p w:rsidR="00000000" w:rsidDel="00000000" w:rsidP="00000000" w:rsidRDefault="00000000" w:rsidRPr="00000000" w14:paraId="000001A2">
      <w:pPr>
        <w:spacing w:line="480" w:lineRule="auto"/>
        <w:rPr/>
      </w:pPr>
      <w:r w:rsidDel="00000000" w:rsidR="00000000" w:rsidRPr="00000000">
        <w:rPr>
          <w:rtl w:val="0"/>
        </w:rPr>
      </w:r>
    </w:p>
    <w:p w:rsidR="00000000" w:rsidDel="00000000" w:rsidP="00000000" w:rsidRDefault="00000000" w:rsidRPr="00000000" w14:paraId="000001A3">
      <w:pPr>
        <w:spacing w:line="480" w:lineRule="auto"/>
        <w:rPr/>
      </w:pPr>
      <w:r w:rsidDel="00000000" w:rsidR="00000000" w:rsidRPr="00000000">
        <w:rPr>
          <w:rtl w:val="0"/>
        </w:rPr>
        <w:t xml:space="preserve">Across the 20 articles, there were 5 different IUCN Global Typology </w:t>
      </w:r>
      <w:r w:rsidDel="00000000" w:rsidR="00000000" w:rsidRPr="00000000">
        <w:rPr>
          <w:rtl w:val="0"/>
        </w:rPr>
        <w:t xml:space="preserve">for Earth Ecosystem types</w:t>
      </w:r>
      <w:r w:rsidDel="00000000" w:rsidR="00000000" w:rsidRPr="00000000">
        <w:rPr>
          <w:rtl w:val="0"/>
        </w:rPr>
        <w:t xml:space="preserve">. Temperate subhumid grasslands, Urban and industrial ecosystems, Sown pastures and fields, Permanent marshes and Annual croplands. The most common is Temperate subhumid grassland and Urban and Industrial ecosystems (Figure 5). Of the 20 articles, 15 shared the same origin and target ecosystem type and 5 articles differed in ecosystem origin and ecosystem target. Of those 5 that differed, most were cases of urban and industrial ecosystems being converted back to grassland after a disturbance (60%; n = 3). Disturbances reported included landfill, oil sand extraction and pipeline construction. </w:t>
      </w:r>
    </w:p>
    <w:p w:rsidR="00000000" w:rsidDel="00000000" w:rsidP="00000000" w:rsidRDefault="00000000" w:rsidRPr="00000000" w14:paraId="000001A4">
      <w:pPr>
        <w:spacing w:line="480" w:lineRule="auto"/>
        <w:rPr/>
      </w:pPr>
      <w:r w:rsidDel="00000000" w:rsidR="00000000" w:rsidRPr="00000000">
        <w:rPr>
          <w:rtl w:val="0"/>
        </w:rPr>
      </w:r>
    </w:p>
    <w:p w:rsidR="00000000" w:rsidDel="00000000" w:rsidP="00000000" w:rsidRDefault="00000000" w:rsidRPr="00000000" w14:paraId="000001A5">
      <w:pPr>
        <w:spacing w:line="480" w:lineRule="auto"/>
        <w:rPr/>
      </w:pPr>
      <w:r w:rsidDel="00000000" w:rsidR="00000000" w:rsidRPr="00000000">
        <w:rPr>
          <w:rtl w:val="0"/>
        </w:rPr>
        <w:t xml:space="preserve">For Taxon Attribute, a qualifier of any association where a taxon is present in the domain range or both, 25 unique attributes were assigned across 710 taxon edges. In this case, 710 is the number of edges that include a taxon node, which is the only edge type to receive a taxon attribute qualifier.The commonly assigned taxon attribute is abundance, which accounted for most (67.8%; n = 681) of the taxon edge attributes, followed by percent cover (11.3%; n = 80) and seed abundance (0.49%, n = 35). </w:t>
      </w:r>
    </w:p>
    <w:p w:rsidR="00000000" w:rsidDel="00000000" w:rsidP="00000000" w:rsidRDefault="00000000" w:rsidRPr="00000000" w14:paraId="000001A6">
      <w:pPr>
        <w:spacing w:line="480" w:lineRule="auto"/>
        <w:rPr/>
      </w:pPr>
      <w:r w:rsidDel="00000000" w:rsidR="00000000" w:rsidRPr="00000000">
        <w:rPr>
          <w:rtl w:val="0"/>
        </w:rPr>
      </w:r>
    </w:p>
    <w:p w:rsidR="00000000" w:rsidDel="00000000" w:rsidP="00000000" w:rsidRDefault="00000000" w:rsidRPr="00000000" w14:paraId="000001A7">
      <w:pPr>
        <w:spacing w:line="480" w:lineRule="auto"/>
        <w:rPr>
          <w:b w:val="1"/>
          <w:bCs w:val="1"/>
        </w:rPr>
      </w:pPr>
      <w:r w:rsidDel="00000000" w:rsidR="00000000" w:rsidRPr="00000000">
        <w:rPr>
          <w:b w:val="1"/>
          <w:bCs w:val="1"/>
          <w:rtl w:val="0"/>
        </w:rPr>
        <w:t xml:space="preserve">Network Construction</w:t>
      </w:r>
    </w:p>
    <w:p w:rsidR="00000000" w:rsidDel="00000000" w:rsidP="00000000" w:rsidRDefault="00000000" w:rsidRPr="00000000" w14:paraId="000001A8">
      <w:pPr>
        <w:spacing w:line="480" w:lineRule="auto"/>
        <w:rPr/>
      </w:pPr>
      <w:r w:rsidDel="00000000" w:rsidR="00000000" w:rsidRPr="00000000">
        <w:rPr>
          <w:rtl w:val="0"/>
        </w:rPr>
      </w:r>
    </w:p>
    <w:p w:rsidR="00000000" w:rsidDel="00000000" w:rsidP="00000000" w:rsidRDefault="00000000" w:rsidRPr="00000000" w14:paraId="000001A9">
      <w:pPr>
        <w:spacing w:line="480" w:lineRule="auto"/>
        <w:rPr/>
      </w:pPr>
      <w:r w:rsidDel="00000000" w:rsidR="00000000" w:rsidRPr="00000000">
        <w:rPr>
          <w:rtl w:val="0"/>
        </w:rPr>
        <w:t xml:space="preserve">Across all the directional edge associations (n = 949), about half (53.9%; n = 511) were statistical associations and half (46.2%; n = 438) were observational. This means that the evidence recorded in the graph is evenly divided between statistical studies and observational ones. The literature indicates that while both approaches are important, statistical approaches can help to minimize the effects of selection bias (Simler-Williamson &amp; Germino, 2022).</w:t>
      </w:r>
      <w:r w:rsidDel="00000000" w:rsidR="00000000" w:rsidRPr="00000000">
        <w:rPr>
          <w:rtl w:val="0"/>
        </w:rPr>
        <w:t xml:space="preserve"> </w:t>
      </w:r>
      <w:r w:rsidDel="00000000" w:rsidR="00000000" w:rsidRPr="00000000">
        <w:rPr>
          <w:rtl w:val="0"/>
        </w:rPr>
        <w:t xml:space="preserve">Statistical associations were recorded as any directional change in a taxon or environmental variable that were above a 0.05 p-value. Observations were associations that saw a change but were either not tested for statistical significance or did not have a p-value of 0.05 or less. Observational approaches show weaker connections between cause and effect often allowing for less inferences to be made (Block et al., 2001). Despite the weaker inference in the observation associations, they may point the way to future research directions. For example in article 5 of 20, </w:t>
      </w:r>
      <w:r w:rsidDel="00000000" w:rsidR="00000000" w:rsidRPr="00000000">
        <w:rPr>
          <w:rtl w:val="0"/>
        </w:rPr>
        <w:t xml:space="preserve">seeding</w:t>
      </w:r>
      <w:r w:rsidDel="00000000" w:rsidR="00000000" w:rsidRPr="00000000">
        <w:rPr>
          <w:rtl w:val="0"/>
        </w:rPr>
        <w:t xml:space="preserve"> process is observationally shown to increase the abundance of </w:t>
      </w:r>
      <w:r w:rsidDel="00000000" w:rsidR="00000000" w:rsidRPr="00000000">
        <w:rPr>
          <w:i w:val="1"/>
          <w:iCs w:val="1"/>
          <w:rtl w:val="0"/>
        </w:rPr>
        <w:t xml:space="preserve">Bombus terricola</w:t>
      </w:r>
      <w:r w:rsidDel="00000000" w:rsidR="00000000" w:rsidRPr="00000000">
        <w:rPr>
          <w:rtl w:val="0"/>
        </w:rPr>
        <w:t xml:space="preserve">, commonly known as the Yellow-banded bumble bee (Onuferko et al., 2018). The </w:t>
      </w:r>
      <w:r w:rsidDel="00000000" w:rsidR="00000000" w:rsidRPr="00000000">
        <w:rPr>
          <w:i w:val="1"/>
          <w:iCs w:val="1"/>
          <w:rtl w:val="0"/>
        </w:rPr>
        <w:t xml:space="preserve">Bombus terricola</w:t>
      </w:r>
      <w:r w:rsidDel="00000000" w:rsidR="00000000" w:rsidRPr="00000000">
        <w:rPr>
          <w:rtl w:val="0"/>
        </w:rPr>
        <w:t xml:space="preserve"> is a IUCN listed vulnerable species and a COSEWIC special concern species. In an article more targeted towards the </w:t>
      </w:r>
      <w:r w:rsidDel="00000000" w:rsidR="00000000" w:rsidRPr="00000000">
        <w:rPr>
          <w:i w:val="1"/>
          <w:iCs w:val="1"/>
          <w:rtl w:val="0"/>
        </w:rPr>
        <w:t xml:space="preserve">Bombus terricola</w:t>
      </w:r>
      <w:r w:rsidDel="00000000" w:rsidR="00000000" w:rsidRPr="00000000">
        <w:rPr>
          <w:rtl w:val="0"/>
        </w:rPr>
        <w:t xml:space="preserve">, this observed association could help inform research efforts for the species. Including these associations in the knowledge graph can help to inform conservation and restoration decisions through facilitating research questions. In cases where restoration hopes to target a species or ecological function, queries of the knowledge graph can demonstrate the existing findings which could prove useful in conservation of that species or environment. </w:t>
      </w:r>
      <w:r w:rsidDel="00000000" w:rsidR="00000000" w:rsidRPr="00000000">
        <w:rPr>
          <w:rtl w:val="0"/>
        </w:rPr>
        <w:t xml:space="preserve">Most associations described were statistically significant (e.g. p-value less than or equal to 0.05) (53.8%; n = 511). Restoration studies suggest that statistical association is a key facet in creating successful experimental design (Block et al., 2001). Observational monitoring in restoration ecology is associated with biased inferences, poor predictions and misleading findings (Chadwick et al., 2025). </w:t>
      </w:r>
      <w:r w:rsidDel="00000000" w:rsidR="00000000" w:rsidRPr="00000000">
        <w:rPr>
          <w:rtl w:val="0"/>
        </w:rPr>
        <w:t xml:space="preserve">This highlights the importance of the statistical edges in using the model as a tool for restoration. Filtering the model to show only statistically significant associations would be the best practice when considering knowledge discovery, as these associations have the highest confidence the true effect is happening. </w:t>
      </w:r>
    </w:p>
    <w:p w:rsidR="00000000" w:rsidDel="00000000" w:rsidP="00000000" w:rsidRDefault="00000000" w:rsidRPr="00000000" w14:paraId="000001AA">
      <w:pPr>
        <w:spacing w:line="480" w:lineRule="auto"/>
        <w:rPr/>
      </w:pPr>
      <w:r w:rsidDel="00000000" w:rsidR="00000000" w:rsidRPr="00000000">
        <w:rPr>
          <w:rtl w:val="0"/>
        </w:rPr>
      </w:r>
    </w:p>
    <w:p w:rsidR="00000000" w:rsidDel="00000000" w:rsidP="00000000" w:rsidRDefault="00000000" w:rsidRPr="00000000" w14:paraId="000001AB">
      <w:pPr>
        <w:spacing w:line="480" w:lineRule="auto"/>
        <w:rPr/>
      </w:pPr>
      <w:r w:rsidDel="00000000" w:rsidR="00000000" w:rsidRPr="00000000">
        <w:rPr>
          <w:rtl w:val="0"/>
        </w:rPr>
        <w:t xml:space="preserve">While these directional impacts have been shown to have high confidence, they are all referential to different controls. The increase in a given species or environmental variable is according to the original ecosystem expression of that subject. Complexities in generalizing ecosystem knowledge often foster great challenges in creating transferable solutions to restoration projects (Haq et al., 2023). For example, while the seeding process might be statistically seen to increase a species of bee, it might fail to produce a statistical result considering a different ecosystem. This is even observed within single publications where identical processes were applied across varying sites, but sites saw different results. Similarly, p-values for statistically significant association were not recorded, inhibiting comparisons between associations’ theoretical effectiveness. The seeding process and biological fauna control process were both seen to increase species diversity in the knowledge graph, but the magnitude of these associations are not known just from the graph alone. These associations therefore cannot be relied on to solely inform conservation decisions. Edge associations can also be useful to query in considering a target species or environment process, to help create direction in restoration research and lead to increased knowledge before decisions are made. Contradicting edges, in particular, can be used to show the complexities in restoration ecology, where one publication might see one effect and another the opposite. </w:t>
      </w:r>
    </w:p>
    <w:p w:rsidR="00000000" w:rsidDel="00000000" w:rsidP="00000000" w:rsidRDefault="00000000" w:rsidRPr="00000000" w14:paraId="000001AC">
      <w:pPr>
        <w:spacing w:line="480" w:lineRule="auto"/>
        <w:rPr/>
      </w:pPr>
      <w:r w:rsidDel="00000000" w:rsidR="00000000" w:rsidRPr="00000000">
        <w:rPr>
          <w:rtl w:val="0"/>
        </w:rPr>
      </w:r>
    </w:p>
    <w:p w:rsidR="00000000" w:rsidDel="00000000" w:rsidP="00000000" w:rsidRDefault="00000000" w:rsidRPr="00000000" w14:paraId="000001AD">
      <w:pPr>
        <w:spacing w:line="480" w:lineRule="auto"/>
        <w:rPr>
          <w:b w:val="1"/>
          <w:bCs w:val="1"/>
        </w:rPr>
      </w:pPr>
      <w:r w:rsidDel="00000000" w:rsidR="00000000" w:rsidRPr="00000000">
        <w:rPr>
          <w:b w:val="1"/>
          <w:bCs w:val="1"/>
          <w:rtl w:val="0"/>
        </w:rPr>
        <w:t xml:space="preserve">Measures of Centrality</w:t>
      </w:r>
    </w:p>
    <w:p w:rsidR="00000000" w:rsidDel="00000000" w:rsidP="00000000" w:rsidRDefault="00000000" w:rsidRPr="00000000" w14:paraId="000001AE">
      <w:pPr>
        <w:spacing w:line="480" w:lineRule="auto"/>
        <w:rPr/>
      </w:pPr>
      <w:r w:rsidDel="00000000" w:rsidR="00000000" w:rsidRPr="00000000">
        <w:rPr>
          <w:rtl w:val="0"/>
        </w:rPr>
      </w:r>
    </w:p>
    <w:p w:rsidR="00000000" w:rsidDel="00000000" w:rsidP="00000000" w:rsidRDefault="00000000" w:rsidRPr="00000000" w14:paraId="000001AF">
      <w:pPr>
        <w:spacing w:line="480" w:lineRule="auto"/>
        <w:rPr/>
      </w:pPr>
      <w:r w:rsidDel="00000000" w:rsidR="00000000" w:rsidRPr="00000000">
        <w:rPr>
          <w:rtl w:val="0"/>
        </w:rPr>
        <w:t xml:space="preserve">Measures of centrality in a knowledge graph can be useful in identifying key features and subjects (Koschützki &amp; Schreiber, 2008). In ELM, showing the most interconnected nodes through degree centrality can show which nodes are influencing and being influenced the most (Figure 8). Betweenness shows which nodes are being passed through the most, showing what nodes are bridging connections the most (Koschützki &amp; Schreiber, 2008). In and out degree are measures of degree centrality but focused only on the amount of associations going out or in of the node. This can be useful to isolate processes and environmental variables that are influencing or being influenced the most.</w:t>
      </w:r>
    </w:p>
    <w:p w:rsidR="00000000" w:rsidDel="00000000" w:rsidP="00000000" w:rsidRDefault="00000000" w:rsidRPr="00000000" w14:paraId="000001B0">
      <w:pPr>
        <w:spacing w:line="480" w:lineRule="auto"/>
        <w:rPr/>
      </w:pPr>
      <w:r w:rsidDel="00000000" w:rsidR="00000000" w:rsidRPr="00000000">
        <w:rPr>
          <w:rtl w:val="0"/>
        </w:rPr>
      </w:r>
    </w:p>
    <w:p w:rsidR="00000000" w:rsidDel="00000000" w:rsidP="00000000" w:rsidRDefault="00000000" w:rsidRPr="00000000" w14:paraId="000001B1">
      <w:pPr>
        <w:spacing w:line="480" w:lineRule="auto"/>
        <w:rPr/>
      </w:pPr>
      <w:r w:rsidDel="00000000" w:rsidR="00000000" w:rsidRPr="00000000">
        <w:rPr>
          <w:rtl w:val="0"/>
        </w:rPr>
        <w:t xml:space="preserve">In looking at the processes with the highest out degree (Figure 9), we can see which processes are most interconnected to Environmental Variables and Taxon nodes. In and out degree are crucial topological features of knowledge graphs by showing the structure, importance and density of nodes within a domain (Cai &amp; O’Connor, 2025). In this case floral abundance and nesting ability saw the highest out degree meaning they facilitate the most associations. The out degree, similarly to the in degree, does not consider which associations are statistically significant or observation, which must be considered when making statements about their influence. The highest out degree processes can be interpreted as the processes with the highest influence in any direction, increasing or decreasing. In this knowledge graph, increasing and decreasing are not synonymous with positive and negative impacts. For example, </w:t>
      </w:r>
      <w:r w:rsidDel="00000000" w:rsidR="00000000" w:rsidRPr="00000000">
        <w:rPr>
          <w:rtl w:val="0"/>
        </w:rPr>
        <w:t xml:space="preserve">seeding</w:t>
      </w:r>
      <w:r w:rsidDel="00000000" w:rsidR="00000000" w:rsidRPr="00000000">
        <w:rPr>
          <w:rtl w:val="0"/>
        </w:rPr>
        <w:t xml:space="preserve"> process being negatively associated with bare soil cover could be considered positively impacting the species abundance depending on the goal of the restoration.</w:t>
      </w:r>
    </w:p>
    <w:p w:rsidR="00000000" w:rsidDel="00000000" w:rsidP="00000000" w:rsidRDefault="00000000" w:rsidRPr="00000000" w14:paraId="000001B2">
      <w:pPr>
        <w:spacing w:line="480" w:lineRule="auto"/>
        <w:rPr/>
      </w:pPr>
      <w:r w:rsidDel="00000000" w:rsidR="00000000" w:rsidRPr="00000000">
        <w:rPr>
          <w:rtl w:val="0"/>
        </w:rPr>
      </w:r>
    </w:p>
    <w:p w:rsidR="00000000" w:rsidDel="00000000" w:rsidP="00000000" w:rsidRDefault="00000000" w:rsidRPr="00000000" w14:paraId="000001B3">
      <w:pPr>
        <w:spacing w:line="480" w:lineRule="auto"/>
        <w:rPr/>
      </w:pPr>
      <w:r w:rsidDel="00000000" w:rsidR="00000000" w:rsidRPr="00000000">
        <w:rPr>
          <w:rtl w:val="0"/>
        </w:rPr>
        <w:t xml:space="preserve">Similarly, </w:t>
      </w:r>
      <w:r w:rsidDel="00000000" w:rsidR="00000000" w:rsidRPr="00000000">
        <w:rPr>
          <w:rtl w:val="0"/>
        </w:rPr>
        <w:t xml:space="preserve">the in degree</w:t>
      </w:r>
      <w:r w:rsidDel="00000000" w:rsidR="00000000" w:rsidRPr="00000000">
        <w:rPr>
          <w:rtl w:val="0"/>
        </w:rPr>
        <w:t xml:space="preserve"> of Environmental Variables (Figure 10) are the variables that </w:t>
      </w:r>
      <w:r w:rsidDel="00000000" w:rsidR="00000000" w:rsidRPr="00000000">
        <w:rPr>
          <w:rtl w:val="0"/>
        </w:rPr>
        <w:t xml:space="preserve">are being acted on the most by process,</w:t>
      </w:r>
      <w:r w:rsidDel="00000000" w:rsidR="00000000" w:rsidRPr="00000000">
        <w:rPr>
          <w:rtl w:val="0"/>
        </w:rPr>
        <w:t xml:space="preserve"> Taxon or other Environmental Variables. High in degree for Environmental Variables nodes could be interpreted as the ones that are most susceptible to changes in the environment. They may also be the most popularly observed measures in restoration ecology. For example species richness and species diversity, which are both critical metrics in determining the biodiversity of an ecosystem, were widely reported in most of the 20 articles. Species richness is reported in 10 of 20 and species diversity is reported in 9 of 20, however only species richness is a part of the top 8 in degrees. Due to the overlap in reported similar variables across articles, in degree is heavily influenced by both its associations within an article but also how often it is reported.</w:t>
      </w:r>
    </w:p>
    <w:p w:rsidR="00000000" w:rsidDel="00000000" w:rsidP="00000000" w:rsidRDefault="00000000" w:rsidRPr="00000000" w14:paraId="000001B4">
      <w:pPr>
        <w:spacing w:line="480" w:lineRule="auto"/>
        <w:rPr/>
      </w:pPr>
      <w:r w:rsidDel="00000000" w:rsidR="00000000" w:rsidRPr="00000000">
        <w:rPr>
          <w:rtl w:val="0"/>
        </w:rPr>
      </w:r>
    </w:p>
    <w:p w:rsidR="00000000" w:rsidDel="00000000" w:rsidP="00000000" w:rsidRDefault="00000000" w:rsidRPr="00000000" w14:paraId="000001B5">
      <w:pPr>
        <w:spacing w:line="480" w:lineRule="auto"/>
        <w:rPr>
          <w:b w:val="1"/>
          <w:bCs w:val="1"/>
        </w:rPr>
      </w:pPr>
      <w:r w:rsidDel="00000000" w:rsidR="00000000" w:rsidRPr="00000000">
        <w:rPr>
          <w:b w:val="1"/>
          <w:bCs w:val="1"/>
          <w:rtl w:val="0"/>
        </w:rPr>
        <w:t xml:space="preserve">Barriers in Data Extraction</w:t>
      </w:r>
    </w:p>
    <w:p w:rsidR="00000000" w:rsidDel="00000000" w:rsidP="00000000" w:rsidRDefault="00000000" w:rsidRPr="00000000" w14:paraId="000001B6">
      <w:pPr>
        <w:spacing w:line="480" w:lineRule="auto"/>
        <w:rPr/>
      </w:pPr>
      <w:r w:rsidDel="00000000" w:rsidR="00000000" w:rsidRPr="00000000">
        <w:rPr>
          <w:rtl w:val="0"/>
        </w:rPr>
      </w:r>
    </w:p>
    <w:p w:rsidR="00000000" w:rsidDel="00000000" w:rsidP="00000000" w:rsidRDefault="00000000" w:rsidRPr="00000000" w14:paraId="000001B7">
      <w:pPr>
        <w:spacing w:line="480" w:lineRule="auto"/>
        <w:rPr/>
      </w:pPr>
      <w:r w:rsidDel="00000000" w:rsidR="00000000" w:rsidRPr="00000000">
        <w:rPr>
          <w:rtl w:val="0"/>
        </w:rPr>
        <w:t xml:space="preserve">Some restrictions have to be considered in the extraction of articles using ELM. Similarly to the reporting of statistically significant and observational associations, the controls of each finding vary between articles. In most articles, the control is expressed as the conditions of the environment pre intervention through the applied process, but this is not the case in all the articles. In article 11, “</w:t>
      </w:r>
      <w:r w:rsidDel="00000000" w:rsidR="00000000" w:rsidRPr="00000000">
        <w:rPr>
          <w:i w:val="1"/>
          <w:iCs w:val="1"/>
          <w:rtl w:val="0"/>
        </w:rPr>
        <w:t xml:space="preserve">Do peat amendments to oil sands wet sediments affect Carex aquatilis biomass for reclamation success?</w:t>
      </w:r>
      <w:r w:rsidDel="00000000" w:rsidR="00000000" w:rsidRPr="00000000">
        <w:rPr>
          <w:rtl w:val="0"/>
        </w:rPr>
        <w:t xml:space="preserve">”, the measures of success were not communicated in a way conducive to how ELM is interpreted (Roy et al., 2014). The article aimed to determine if byproducts of oil sand operations can be repurposed in reclaiming decommissioned oilsands. They tested different byproducts in oilsands processed water and in freshwater, comparing how water sedge (</w:t>
      </w:r>
      <w:r w:rsidDel="00000000" w:rsidR="00000000" w:rsidRPr="00000000">
        <w:rPr>
          <w:i w:val="1"/>
          <w:iCs w:val="1"/>
          <w:rtl w:val="0"/>
        </w:rPr>
        <w:t xml:space="preserve">Carex Aquatilis</w:t>
      </w:r>
      <w:r w:rsidDel="00000000" w:rsidR="00000000" w:rsidRPr="00000000">
        <w:rPr>
          <w:rtl w:val="0"/>
        </w:rPr>
        <w:t xml:space="preserve">) would grow with the amendments. The control model is freshwater which meant in all amendment types applied to oilsands processed water, growth is restricted in comparison. In considering how ELM demonstrates associations, all amendment types are shown to restrict water sedge growth relative to the control. Ultimately the results of the article saw amendments improving survival and biomass when amendments of oil sand sediments were applied, but due to the control, the opposite appears once synthesized into the model. This is important to note that some experimental design, while not incompatible with synthesis into the model, may report results that lack the contextual information crucial to interpretation the results. </w:t>
      </w:r>
    </w:p>
    <w:p w:rsidR="00000000" w:rsidDel="00000000" w:rsidP="00000000" w:rsidRDefault="00000000" w:rsidRPr="00000000" w14:paraId="000001B8">
      <w:pPr>
        <w:spacing w:line="480" w:lineRule="auto"/>
        <w:rPr/>
      </w:pPr>
      <w:r w:rsidDel="00000000" w:rsidR="00000000" w:rsidRPr="00000000">
        <w:rPr>
          <w:rtl w:val="0"/>
        </w:rPr>
      </w:r>
    </w:p>
    <w:p w:rsidR="00000000" w:rsidDel="00000000" w:rsidP="00000000" w:rsidRDefault="00000000" w:rsidRPr="00000000" w14:paraId="000001B9">
      <w:pPr>
        <w:spacing w:line="480" w:lineRule="auto"/>
        <w:rPr/>
      </w:pPr>
      <w:r w:rsidDel="00000000" w:rsidR="00000000" w:rsidRPr="00000000">
        <w:rPr>
          <w:rtl w:val="0"/>
        </w:rPr>
        <w:t xml:space="preserve">In addition to contextual barriers in accurate reporting, extraction of information is often restricted by grouping of key findings. While restoration ecology papers often cover vast amounts of variables, a majority of the 20 articles included some ambiguity around ELMs 4 types of subject values, specifically grouping species into environmental variables. Across many articles extracted for grassland restoration, species were not reported individually but instead grouped together by identifiers such as native vs non native, C3 vs C4 plants, ect. In some cases, articles did not specify which species they were considering under each group. This grouping of species inhibits the operability of the model by making assumptions about how similar species will behave given the applied process(es). This species grouping might also convert many statistical associations into observations when statements like “soil amendments statistically increased biomass of C4 plants", where either the results have to be supplementally shown as statistical associations to all recorded C4 species or it must be reported grouped together under “C4 species”. Listing species separately is preferred in facilitating more overlap between nodes of different articles, but could not always be achieved. In this case Environmental Variables nodes were created that may facilitate overlapping that should not overlap. For example, if C4 plants were reported under two articles but references different species, these nodes now overlap and build a graph that makes assumptions across a variety of C4 plants. While it’s possible C4 plants will react similarly due to physiological features, large assumptions like this increase the graph's uncertainty. Articles that included supplemental information often created more ease of extraction as results were stated more explicitly often in the form of a table or spreadsheet, instead of having to rely on the findings selected for the results section. Articles that included supplemental information often facilitated the most robust nodes as species names and environmental variables could be directly extracted from tables instead of through the article, which might not explicitly state every effect seen. </w:t>
      </w:r>
    </w:p>
    <w:p w:rsidR="00000000" w:rsidDel="00000000" w:rsidP="00000000" w:rsidRDefault="00000000" w:rsidRPr="00000000" w14:paraId="000001BA">
      <w:pPr>
        <w:spacing w:line="480" w:lineRule="auto"/>
        <w:rPr/>
      </w:pPr>
      <w:r w:rsidDel="00000000" w:rsidR="00000000" w:rsidRPr="00000000">
        <w:rPr>
          <w:rtl w:val="0"/>
        </w:rPr>
      </w:r>
    </w:p>
    <w:p w:rsidR="00000000" w:rsidDel="00000000" w:rsidP="00000000" w:rsidRDefault="00000000" w:rsidRPr="00000000" w14:paraId="000001BB">
      <w:pPr>
        <w:spacing w:line="480" w:lineRule="auto"/>
        <w:rPr/>
      </w:pPr>
      <w:r w:rsidDel="00000000" w:rsidR="00000000" w:rsidRPr="00000000">
        <w:rPr>
          <w:rtl w:val="0"/>
        </w:rPr>
        <w:t xml:space="preserve">The creation of niche processes and environmental variables in extraction also contributed to reduced operability of the knowledge graph. As mentioned, some processes could not be separated from one another in cases where their results were only reported in conjunction. As a result, niche processes were created that shared no overlap with processes from other articles. For the aforementioned oilsands reclamation article, processes applied included a unique combination of water type, sediment byproduct type and peat amendment. Results of the article saw little connectivity as 8 different processes were reported, all yielding results that only connected to processes of that same article (Roy et al., 2014). Conversely, when processes are reported separately and results are not reported in conjunction, findings may fail to represent the combined effect, leaving few solutions for ease of extraction. A similar issue is seen with environmental variables depending how they were reported. For example, floral abundance and nesting resources were two of the highest Environmental Variable degree centrality nodes (Figure 8). While these variables could have been broken down into more specific variables, they would be variables such as “red flowers” and “mud” which contributed more niche variables than it resolved. In order to create robust knowledge graphs, Environmental Variables nodes must overlap in ways to create operability. In many cases across the articles, recorded Environmental Variables could not facilitate these overlaps. Their inclusion in the knowledge graph still provides important information isolated to the singular article, but fails to contribute to the graph's connectivity, a key feature to its operability.</w:t>
      </w:r>
    </w:p>
    <w:p w:rsidR="00000000" w:rsidDel="00000000" w:rsidP="00000000" w:rsidRDefault="00000000" w:rsidRPr="00000000" w14:paraId="000001BC">
      <w:pPr>
        <w:spacing w:line="480" w:lineRule="auto"/>
        <w:rPr/>
      </w:pPr>
      <w:r w:rsidDel="00000000" w:rsidR="00000000" w:rsidRPr="00000000">
        <w:rPr>
          <w:rtl w:val="0"/>
        </w:rPr>
      </w:r>
    </w:p>
    <w:p w:rsidR="00000000" w:rsidDel="00000000" w:rsidP="00000000" w:rsidRDefault="00000000" w:rsidRPr="00000000" w14:paraId="000001BD">
      <w:pPr>
        <w:spacing w:line="480" w:lineRule="auto"/>
        <w:rPr/>
      </w:pPr>
      <w:r w:rsidDel="00000000" w:rsidR="00000000" w:rsidRPr="00000000">
        <w:rPr>
          <w:rtl w:val="0"/>
        </w:rPr>
        <w:t xml:space="preserve">Seasonal and topological variability also contributed to barriers in extraction. Seasonal variability plays a large part in the impacts of a given process and has the ability to alter results on a temporal scale. Many articles showed findings but stipulated them depending on temporal or topological features of research sites. To combat this issue, an edge qualifier titled “conditions” was added. This is a solution that allowed findings to be reported that included key stipulations. For example in article 5, </w:t>
      </w:r>
      <w:r w:rsidDel="00000000" w:rsidR="00000000" w:rsidRPr="00000000">
        <w:rPr>
          <w:i w:val="1"/>
          <w:iCs w:val="1"/>
          <w:rtl w:val="0"/>
        </w:rPr>
        <w:t xml:space="preserve">“Rapid initial recovery and long-term persistence of a bee community in a former landfill”</w:t>
      </w:r>
      <w:r w:rsidDel="00000000" w:rsidR="00000000" w:rsidRPr="00000000">
        <w:rPr>
          <w:rtl w:val="0"/>
        </w:rPr>
        <w:t xml:space="preserve">, </w:t>
      </w:r>
      <w:r w:rsidDel="00000000" w:rsidR="00000000" w:rsidRPr="00000000">
        <w:rPr>
          <w:rtl w:val="0"/>
        </w:rPr>
        <w:t xml:space="preserve">the applied seeding process only saw success in improving biodiversity markers like species abundance for 3-4 years after the initial seeding (Onuferko et al., 2018). Knowing the extent of restoration success is crucial in using ELM to inform decisions, otherwise results communicated in the graph could be misleading. Adding the conditions edge qualifier provided a solution to communicating these stipulations without disrupting or fragmenting the knowledge graph. </w:t>
      </w:r>
    </w:p>
    <w:p w:rsidR="00000000" w:rsidDel="00000000" w:rsidP="00000000" w:rsidRDefault="00000000" w:rsidRPr="00000000" w14:paraId="000001BE">
      <w:pPr>
        <w:spacing w:line="480" w:lineRule="auto"/>
        <w:rPr/>
      </w:pPr>
      <w:r w:rsidDel="00000000" w:rsidR="00000000" w:rsidRPr="00000000">
        <w:rPr>
          <w:rtl w:val="0"/>
        </w:rPr>
      </w:r>
    </w:p>
    <w:p w:rsidR="00000000" w:rsidDel="00000000" w:rsidP="00000000" w:rsidRDefault="00000000" w:rsidRPr="00000000" w14:paraId="000001BF">
      <w:pPr>
        <w:spacing w:line="480" w:lineRule="auto"/>
        <w:rPr>
          <w:b w:val="1"/>
          <w:bCs w:val="1"/>
        </w:rPr>
      </w:pPr>
      <w:r w:rsidDel="00000000" w:rsidR="00000000" w:rsidRPr="00000000">
        <w:rPr>
          <w:b w:val="1"/>
          <w:bCs w:val="1"/>
          <w:rtl w:val="0"/>
        </w:rPr>
        <w:t xml:space="preserve">Ecolink Model as a Tool for Restoration Ecology:</w:t>
      </w:r>
    </w:p>
    <w:p w:rsidR="00000000" w:rsidDel="00000000" w:rsidP="00000000" w:rsidRDefault="00000000" w:rsidRPr="00000000" w14:paraId="000001C0">
      <w:pPr>
        <w:spacing w:line="480" w:lineRule="auto"/>
        <w:rPr/>
      </w:pPr>
      <w:r w:rsidDel="00000000" w:rsidR="00000000" w:rsidRPr="00000000">
        <w:rPr>
          <w:rtl w:val="0"/>
        </w:rPr>
      </w:r>
    </w:p>
    <w:p w:rsidR="00000000" w:rsidDel="00000000" w:rsidP="00000000" w:rsidRDefault="00000000" w:rsidRPr="00000000" w14:paraId="000001C1">
      <w:pPr>
        <w:spacing w:line="480" w:lineRule="auto"/>
        <w:rPr/>
      </w:pPr>
      <w:r w:rsidDel="00000000" w:rsidR="00000000" w:rsidRPr="00000000">
        <w:rPr>
          <w:rtl w:val="0"/>
        </w:rPr>
        <w:t xml:space="preserve">The Ecolink Model aims to reduce ambiguity around restoration ecology, improve data structuring and close the gap between science information and implementation (Alamenciak et al., 2026). As mentioned, restoration ecology efforts can be inhibited by barriers around inaccessibility to science information and ambiguity around measures of success (Jeschke et al., 2019; Palmer et al., 2020). In introducing ELM, information can become more interoperable and cross validation of success can be more </w:t>
      </w:r>
      <w:r w:rsidDel="00000000" w:rsidR="00000000" w:rsidRPr="00000000">
        <w:rPr>
          <w:rtl w:val="0"/>
        </w:rPr>
        <w:t xml:space="preserve">easily </w:t>
      </w:r>
      <w:r w:rsidDel="00000000" w:rsidR="00000000" w:rsidRPr="00000000">
        <w:rPr>
          <w:rtl w:val="0"/>
        </w:rPr>
        <w:t xml:space="preserve">executed. The main mechanism the model achieves this is through querying the model. Querying ELM works on several scales. All nodes in the model can be induced into subgraphs given the UID or name of the node. In populating the subgraph, you can see the node itself and select how many of the nearest neighbours of that node you would like, depending on the targets of your conservation efforts. For example, if you are curious on the effects of glyphosate application in a grassland, you can induce the subgraph to include all associations containing glyphosate, or all containing your dominant species of grass. Similarly, if you are interested in considering more of the ecosystem, you can induce a subgraph that includes the nearest neighbours to the second or third degree. Inducing larger subgraphs can help in conservation decisions where trophic effects in the ecosystem need to be considered, like in highly sensitive ecosystems. This is where incorporating ontologies in the model is useful. Due to the differences in naming conventions across and inside science domains, querying the model can be inhibited. By building ontologies into the model, we can eliminate uncertainty around naming and provide an external database for clarity. The model can be queried from the included ontology reference numbers like wikidata q-number and the NCBI taxon ID number, eliminating issues with inconsistent naming and enabling ease of knowledge discovery.</w:t>
      </w:r>
    </w:p>
    <w:p w:rsidR="00000000" w:rsidDel="00000000" w:rsidP="00000000" w:rsidRDefault="00000000" w:rsidRPr="00000000" w14:paraId="000001C2">
      <w:pPr>
        <w:spacing w:line="480" w:lineRule="auto"/>
        <w:rPr/>
      </w:pPr>
      <w:r w:rsidDel="00000000" w:rsidR="00000000" w:rsidRPr="00000000">
        <w:rPr>
          <w:rtl w:val="0"/>
        </w:rPr>
      </w:r>
    </w:p>
    <w:p w:rsidR="00000000" w:rsidDel="00000000" w:rsidP="00000000" w:rsidRDefault="00000000" w:rsidRPr="00000000" w14:paraId="000001C3">
      <w:pPr>
        <w:spacing w:line="480" w:lineRule="auto"/>
        <w:rPr/>
      </w:pPr>
      <w:r w:rsidDel="00000000" w:rsidR="00000000" w:rsidRPr="00000000">
        <w:rPr>
          <w:rtl w:val="0"/>
        </w:rPr>
        <w:t xml:space="preserve">The interconnectivity of edges is where this model has the ability to provide robust knowledge. In all domains but especially restoration ecology, there is a limit to the number of observations and statistical associations that can be derived from a single research endeavor. This is both due to research scope and challenges around measuring key ecological features in a qualitative way (Holl et al., 2003). Through knowledge graphs, we can connect the observations and findings from several articles considering the same process, species or environmental variables. This will facilitate operability in considering the cascading effects of conservation decisions. ELM has the potential to identify new linkages between species and environmental variables that might be concealed by several degrees of separation and across fragmented knowledge systems. In addition, the interconnectivity of ecosystems can restrict restoration decisions that are a net benefit to the environment. Some environmental variables might be more sensitive to change and some processes might assert more impact on the environment. Being able to populate a knowledge graph that helps consider these impacts has the potential to introduce more informed restoration efforts and as a result less wasted resources. </w:t>
      </w:r>
    </w:p>
    <w:p w:rsidR="00000000" w:rsidDel="00000000" w:rsidP="00000000" w:rsidRDefault="00000000" w:rsidRPr="00000000" w14:paraId="000001C4">
      <w:pPr>
        <w:spacing w:line="480" w:lineRule="auto"/>
        <w:rPr/>
      </w:pPr>
      <w:r w:rsidDel="00000000" w:rsidR="00000000" w:rsidRPr="00000000">
        <w:rPr>
          <w:rtl w:val="0"/>
        </w:rPr>
      </w:r>
    </w:p>
    <w:p w:rsidR="00000000" w:rsidDel="00000000" w:rsidP="00000000" w:rsidRDefault="00000000" w:rsidRPr="00000000" w14:paraId="000001C5">
      <w:pPr>
        <w:spacing w:line="480" w:lineRule="auto"/>
        <w:rPr/>
      </w:pPr>
      <w:r w:rsidDel="00000000" w:rsidR="00000000" w:rsidRPr="00000000">
        <w:rPr>
          <w:rtl w:val="0"/>
        </w:rPr>
        <w:t xml:space="preserve">The network statistics of the graph are important in the operability for restoration it aims to provide. Combining the findings from an ELM knowledge graph with other factors impacting implementation, it can be a contributing force in reducing wasted resources in conservation, which continues to strain restoration ecology (Buxton et al., 2021). Examining which processes facilitated the most positive associations towards things like species diversity and species abundance, we can hope to prioritize more effective restoration efforts. If it is seen that soil amendment can improve species diversity, decrease non-native species cover and improve soil nutrients, it can be considered as a highly efficient process in restoration.. There is, however, no one size fits all solution for restoration efforts and results are always referential to their own abiotic and biotic conditions. ELM aims to highlight key associations and help make decisions, not make explicit statements about intervention that will definitely have the intended effects. There is a huge variability in the success of restoration ecology efforts across publication. By isolating process and environmental variables, we can hope to push robust data analysis and inform restoration to increase success. </w:t>
      </w:r>
    </w:p>
    <w:p w:rsidR="00000000" w:rsidDel="00000000" w:rsidP="00000000" w:rsidRDefault="00000000" w:rsidRPr="00000000" w14:paraId="000001C6">
      <w:pPr>
        <w:spacing w:line="480" w:lineRule="auto"/>
        <w:rPr/>
      </w:pPr>
      <w:r w:rsidDel="00000000" w:rsidR="00000000" w:rsidRPr="00000000">
        <w:rPr>
          <w:rtl w:val="0"/>
        </w:rPr>
      </w:r>
    </w:p>
    <w:p w:rsidR="00000000" w:rsidDel="00000000" w:rsidP="00000000" w:rsidRDefault="00000000" w:rsidRPr="00000000" w14:paraId="000001C7">
      <w:pPr>
        <w:spacing w:line="480" w:lineRule="auto"/>
        <w:rPr>
          <w:b w:val="1"/>
          <w:bCs w:val="1"/>
        </w:rPr>
      </w:pPr>
      <w:r w:rsidDel="00000000" w:rsidR="00000000" w:rsidRPr="00000000">
        <w:rPr>
          <w:b w:val="1"/>
          <w:bCs w:val="1"/>
          <w:rtl w:val="0"/>
        </w:rPr>
        <w:t xml:space="preserve">Ecolink Model as a Tool for Species at Risk</w:t>
      </w:r>
    </w:p>
    <w:p w:rsidR="00000000" w:rsidDel="00000000" w:rsidP="00000000" w:rsidRDefault="00000000" w:rsidRPr="00000000" w14:paraId="000001C8">
      <w:pPr>
        <w:spacing w:line="480" w:lineRule="auto"/>
        <w:rPr/>
      </w:pPr>
      <w:r w:rsidDel="00000000" w:rsidR="00000000" w:rsidRPr="00000000">
        <w:rPr>
          <w:rtl w:val="0"/>
        </w:rPr>
      </w:r>
    </w:p>
    <w:p w:rsidR="00000000" w:rsidDel="00000000" w:rsidP="00000000" w:rsidRDefault="00000000" w:rsidRPr="00000000" w14:paraId="000001C9">
      <w:pPr>
        <w:spacing w:line="480" w:lineRule="auto"/>
        <w:rPr/>
      </w:pPr>
      <w:r w:rsidDel="00000000" w:rsidR="00000000" w:rsidRPr="00000000">
        <w:rPr>
          <w:rtl w:val="0"/>
        </w:rPr>
        <w:t xml:space="preserve">Given the rise of extinct and extirpated species, it is beneficial to create targeted restoration tools for endangered species. In this ELM, there were 21 IUCN Redlist designated species. Of those 21, 19 species are designated Least Concern, 1 species is designated vulnerable and 1 species is designated Critically Endangered (Figure 11). </w:t>
      </w:r>
    </w:p>
    <w:p w:rsidR="00000000" w:rsidDel="00000000" w:rsidP="00000000" w:rsidRDefault="00000000" w:rsidRPr="00000000" w14:paraId="000001CA">
      <w:pPr>
        <w:spacing w:line="480" w:lineRule="auto"/>
        <w:rPr/>
      </w:pPr>
      <w:r w:rsidDel="00000000" w:rsidR="00000000" w:rsidRPr="00000000">
        <w:rPr>
          <w:rtl w:val="0"/>
        </w:rPr>
      </w:r>
    </w:p>
    <w:p w:rsidR="00000000" w:rsidDel="00000000" w:rsidP="00000000" w:rsidRDefault="00000000" w:rsidRPr="00000000" w14:paraId="000001CB">
      <w:pPr>
        <w:spacing w:line="480" w:lineRule="auto"/>
        <w:rPr/>
      </w:pPr>
      <w:r w:rsidDel="00000000" w:rsidR="00000000" w:rsidRPr="00000000">
        <w:rPr>
          <w:rtl w:val="0"/>
        </w:rPr>
        <w:t xml:space="preserve">Restoration efforts for species at risk are often the most time sensitive and decisions have to be made quickly (Buxton et al., 2022). To avoid wasting resources and time on unsuccessful or less successful conservation attempts, ELM can be utilized. By querying the graph to species of interest, like those designated endangered, modeling of the processes and environmental variables that encouraged positive effect to the species can be populated. This can help researchers and practitioners to see what has already been shown to improve expression and what hasn’t, hopefully leading to better outcomes. Ultimately the knowledge contained inside the graph does not encompass all the context needed to inform conservation around endangered species, but should instead be seen as a tool to more quickly come to the conclusions of best practices and gaps in research. </w:t>
      </w:r>
    </w:p>
    <w:p w:rsidR="00000000" w:rsidDel="00000000" w:rsidP="00000000" w:rsidRDefault="00000000" w:rsidRPr="00000000" w14:paraId="000001CC">
      <w:pPr>
        <w:spacing w:line="480" w:lineRule="auto"/>
        <w:rPr/>
      </w:pPr>
      <w:r w:rsidDel="00000000" w:rsidR="00000000" w:rsidRPr="00000000">
        <w:rPr>
          <w:rtl w:val="0"/>
        </w:rPr>
      </w:r>
    </w:p>
    <w:p w:rsidR="00000000" w:rsidDel="00000000" w:rsidP="00000000" w:rsidRDefault="00000000" w:rsidRPr="00000000" w14:paraId="000001CD">
      <w:pPr>
        <w:spacing w:line="480" w:lineRule="auto"/>
        <w:rPr/>
      </w:pPr>
      <w:r w:rsidDel="00000000" w:rsidR="00000000" w:rsidRPr="00000000">
        <w:rPr>
          <w:rtl w:val="0"/>
        </w:rPr>
        <w:t xml:space="preserve">Knowledge graphs can help to facilitate a benefit analysis for endangered species prioritization (Robertson et al., 2025). Assigning priority to endangered species is a necessary part of resource allocation, as funding for conservation endeavors are finite (Buxton et al., 2022). ELM can contribute to this space but visually and statistically showing which species are facilitating other species and key ecological function. By filtering the model to species and environmental variables, you can highlight the keystone species or those facilitating the survival and operability of the environment through things like nutrient cycling or indirect facilitating. Centrality statistics like degree centrality and betweenness can be helpful in identifying species most in need of allocation of resources as they stand to have the largest impact if extirpated. </w:t>
      </w:r>
    </w:p>
    <w:p w:rsidR="00000000" w:rsidDel="00000000" w:rsidP="00000000" w:rsidRDefault="00000000" w:rsidRPr="00000000" w14:paraId="000001CE">
      <w:pPr>
        <w:spacing w:line="480" w:lineRule="auto"/>
        <w:rPr/>
      </w:pPr>
      <w:r w:rsidDel="00000000" w:rsidR="00000000" w:rsidRPr="00000000">
        <w:rPr>
          <w:rtl w:val="0"/>
        </w:rPr>
      </w:r>
    </w:p>
    <w:p w:rsidR="00000000" w:rsidDel="00000000" w:rsidP="00000000" w:rsidRDefault="00000000" w:rsidRPr="00000000" w14:paraId="000001CF">
      <w:pPr>
        <w:spacing w:line="480" w:lineRule="auto"/>
        <w:rPr>
          <w:b w:val="1"/>
          <w:bCs w:val="1"/>
        </w:rPr>
      </w:pPr>
      <w:r w:rsidDel="00000000" w:rsidR="00000000" w:rsidRPr="00000000">
        <w:rPr>
          <w:b w:val="1"/>
          <w:bCs w:val="1"/>
          <w:rtl w:val="0"/>
        </w:rPr>
        <w:t xml:space="preserve">Future Application of the Ecolink Model</w:t>
      </w:r>
    </w:p>
    <w:p w:rsidR="00000000" w:rsidDel="00000000" w:rsidP="00000000" w:rsidRDefault="00000000" w:rsidRPr="00000000" w14:paraId="000001D0">
      <w:pPr>
        <w:spacing w:line="480" w:lineRule="auto"/>
        <w:rPr/>
      </w:pPr>
      <w:r w:rsidDel="00000000" w:rsidR="00000000" w:rsidRPr="00000000">
        <w:rPr>
          <w:rtl w:val="0"/>
        </w:rPr>
      </w:r>
    </w:p>
    <w:p w:rsidR="00000000" w:rsidDel="00000000" w:rsidP="00000000" w:rsidRDefault="00000000" w:rsidRPr="00000000" w14:paraId="000001D1">
      <w:pPr>
        <w:spacing w:line="480" w:lineRule="auto"/>
        <w:rPr/>
      </w:pPr>
      <w:r w:rsidDel="00000000" w:rsidR="00000000" w:rsidRPr="00000000">
        <w:rPr>
          <w:rtl w:val="0"/>
        </w:rPr>
        <w:t xml:space="preserve">Future application of the Ecolink Model further highlights its importance as a tool for restoration and conservation. Manual extraction of 20 articles, while demonstrating the significant contributions this tool can provide, lacks the ability to provide enough information. By increasing the number of publications being synthesized into the model, larger models with more overlap can be created. This knowledge graph is centered around grassland restoration in Canada but this included many distinct species. Of the 464 total nodes across 20 articles, 147 of them had a degree centrality of 1, meaning they were only connected to one another node. While nodes that showed only a single association were still important for informing restoration, overlap between nodes is a crucial part of its operability. By creating targeted species or environmental variable knowledge graphs under ELM, we can create more robust graphs that contain vast amounts of knowledge all centered in one place. </w:t>
      </w:r>
    </w:p>
    <w:p w:rsidR="00000000" w:rsidDel="00000000" w:rsidP="00000000" w:rsidRDefault="00000000" w:rsidRPr="00000000" w14:paraId="000001D2">
      <w:pPr>
        <w:spacing w:line="480" w:lineRule="auto"/>
        <w:rPr/>
      </w:pPr>
      <w:r w:rsidDel="00000000" w:rsidR="00000000" w:rsidRPr="00000000">
        <w:rPr>
          <w:rtl w:val="0"/>
        </w:rPr>
        <w:t xml:space="preserve">Grey literature including theses, government reports, and unpublished or ongoing research can contain valuable findings, such as null or negative results and diverse methodological approaches (Paez, 2017; Yuki et al., 2024). However, as Paez notes, grey literature is often difficult to locate, access, and systematically include in reviews, which can limit the syntheses of evidence. In this context, systematic reviews that intentionally incorporate grey literature can play a critical role in improving the completeness and accessibility of scientific knowledge (Paez, 2017; Soergel et al., 2009).</w:t>
      </w:r>
    </w:p>
    <w:p w:rsidR="00000000" w:rsidDel="00000000" w:rsidP="00000000" w:rsidRDefault="00000000" w:rsidRPr="00000000" w14:paraId="000001D3">
      <w:pPr>
        <w:spacing w:line="480" w:lineRule="auto"/>
        <w:rPr/>
      </w:pPr>
      <w:r w:rsidDel="00000000" w:rsidR="00000000" w:rsidRPr="00000000">
        <w:rPr>
          <w:rtl w:val="0"/>
        </w:rPr>
      </w:r>
    </w:p>
    <w:p w:rsidR="00000000" w:rsidDel="00000000" w:rsidP="00000000" w:rsidRDefault="00000000" w:rsidRPr="00000000" w14:paraId="000001D4">
      <w:pPr>
        <w:spacing w:line="480" w:lineRule="auto"/>
        <w:rPr/>
      </w:pPr>
      <w:r w:rsidDel="00000000" w:rsidR="00000000" w:rsidRPr="00000000">
        <w:rPr>
          <w:rtl w:val="0"/>
        </w:rPr>
        <w:t xml:space="preserve">Similarly to the limiting factor of manual extraction, this model did not include extracted information from grey literature. Grey literature includes theses, governmental reports and unpublished or ongoing research that contain valuable findings (Paez, 2017). As mentioned, this type of research is hard to locate and include in systematic reviews due to the nature of their findings and methodology. ELM has the capacity to demonstrate negative results but is limited by what published articles include, where negative or null results are often not explicitly mentioned inside the context of the article. Being able to incorporate grey literature into future research would bring significant operability into the model and increase the quality of its findings and knowledge discovery abilities. </w:t>
      </w:r>
    </w:p>
    <w:p w:rsidR="00000000" w:rsidDel="00000000" w:rsidP="00000000" w:rsidRDefault="00000000" w:rsidRPr="00000000" w14:paraId="000001D5">
      <w:pPr>
        <w:spacing w:line="480" w:lineRule="auto"/>
        <w:rPr/>
      </w:pPr>
      <w:r w:rsidDel="00000000" w:rsidR="00000000" w:rsidRPr="00000000">
        <w:rPr>
          <w:rtl w:val="0"/>
        </w:rPr>
      </w:r>
    </w:p>
    <w:p w:rsidR="00000000" w:rsidDel="00000000" w:rsidP="00000000" w:rsidRDefault="00000000" w:rsidRPr="00000000" w14:paraId="000001D6">
      <w:pPr>
        <w:spacing w:line="480" w:lineRule="auto"/>
        <w:rPr/>
      </w:pPr>
      <w:r w:rsidDel="00000000" w:rsidR="00000000" w:rsidRPr="00000000">
        <w:rPr>
          <w:rtl w:val="0"/>
        </w:rPr>
        <w:t xml:space="preserve">Looking at domain specific extractions, we can focus on target species that are either endangered or keystone to the environment to populate subject specific ELM knowledge graphs. This is especially innovative in considering species at risk, who stand the benefit the most from increased restoration knowledge. Similarly, key ecosystems services are being interrupted with the loss of biodiversity. Grasslands are crucial and powerful carbon sinks, highlighting them as important against increased concentrations of CO</w:t>
      </w:r>
      <w:r w:rsidDel="00000000" w:rsidR="00000000" w:rsidRPr="00000000">
        <w:rPr>
          <w:vertAlign w:val="subscript"/>
          <w:rtl w:val="0"/>
        </w:rPr>
        <w:t xml:space="preserve">2</w:t>
      </w:r>
      <w:r w:rsidDel="00000000" w:rsidR="00000000" w:rsidRPr="00000000">
        <w:rPr>
          <w:rtl w:val="0"/>
        </w:rPr>
        <w:t xml:space="preserve"> in the atmosphere. (IUCN, 2024). Preserving the ecological processes inside ecosystems is integral for restoring the integrity of the land. For example, many of the extracted publications for this knowledge graph measure carbon storage of grassland flora before and after restoration efforts. By extracting which species and processes are contributing to carbon storage, restoration decisions can aim to improve restoration while also considering the larger ecosystem services at play. </w:t>
      </w:r>
    </w:p>
    <w:p w:rsidR="00000000" w:rsidDel="00000000" w:rsidP="00000000" w:rsidRDefault="00000000" w:rsidRPr="00000000" w14:paraId="000001D7">
      <w:pPr>
        <w:spacing w:line="480" w:lineRule="auto"/>
        <w:rPr/>
      </w:pPr>
      <w:r w:rsidDel="00000000" w:rsidR="00000000" w:rsidRPr="00000000">
        <w:rPr>
          <w:rtl w:val="0"/>
        </w:rPr>
      </w:r>
    </w:p>
    <w:p w:rsidR="00000000" w:rsidDel="00000000" w:rsidP="00000000" w:rsidRDefault="00000000" w:rsidRPr="00000000" w14:paraId="000001D8">
      <w:pPr>
        <w:spacing w:line="480" w:lineRule="auto"/>
        <w:ind w:left="0" w:firstLine="0"/>
        <w:rPr/>
      </w:pPr>
      <w:r w:rsidDel="00000000" w:rsidR="00000000" w:rsidRPr="00000000">
        <w:rPr>
          <w:rtl w:val="0"/>
        </w:rPr>
        <w:t xml:space="preserve">Including more articles in the model is inhibited by the manual extract of subject values that the current model relies on. Extracting information from 20 articles represents over 100 hours of reading, synthesis and manual data entry. To model hundreds of articles, automated extraction must be considered. Future ELM research could train artificial intelligence (AI) to extract data and therefore decrease the labour required to generate the graph. Barriers to training a model could arise due to differences in how data is interpreted and the aforementioned barriers to extraction like grouping variables and misrepresentative overlap. Incorporating verification methods into any AI extraction would be useful in ensuring the information is being recorded in an accurate way.</w:t>
      </w:r>
    </w:p>
    <w:p w:rsidR="00000000" w:rsidDel="00000000" w:rsidP="00000000" w:rsidRDefault="00000000" w:rsidRPr="00000000" w14:paraId="000001D9">
      <w:pPr>
        <w:spacing w:line="480" w:lineRule="auto"/>
        <w:ind w:left="0" w:firstLine="0"/>
        <w:rPr/>
      </w:pPr>
      <w:r w:rsidDel="00000000" w:rsidR="00000000" w:rsidRPr="00000000">
        <w:rPr>
          <w:rtl w:val="0"/>
        </w:rPr>
      </w:r>
    </w:p>
    <w:p w:rsidR="00000000" w:rsidDel="00000000" w:rsidP="00000000" w:rsidRDefault="00000000" w:rsidRPr="00000000" w14:paraId="000001DA">
      <w:pPr>
        <w:spacing w:line="480" w:lineRule="auto"/>
        <w:ind w:left="0" w:firstLine="0"/>
        <w:jc w:val="center"/>
        <w:rPr>
          <w:b w:val="1"/>
          <w:bCs w:val="1"/>
        </w:rPr>
      </w:pPr>
      <w:r w:rsidDel="00000000" w:rsidR="00000000" w:rsidRPr="00000000">
        <w:rPr>
          <w:b w:val="1"/>
          <w:bCs w:val="1"/>
          <w:rtl w:val="0"/>
        </w:rPr>
        <w:t xml:space="preserve">Conclusion</w:t>
      </w:r>
    </w:p>
    <w:p w:rsidR="00000000" w:rsidDel="00000000" w:rsidP="00000000" w:rsidRDefault="00000000" w:rsidRPr="00000000" w14:paraId="000001DB">
      <w:pPr>
        <w:spacing w:line="480" w:lineRule="auto"/>
        <w:ind w:left="0" w:firstLine="0"/>
        <w:rPr/>
      </w:pPr>
      <w:r w:rsidDel="00000000" w:rsidR="00000000" w:rsidRPr="00000000">
        <w:rPr>
          <w:rtl w:val="0"/>
        </w:rPr>
      </w:r>
    </w:p>
    <w:p w:rsidR="00000000" w:rsidDel="00000000" w:rsidP="00000000" w:rsidRDefault="00000000" w:rsidRPr="00000000" w14:paraId="000001DC">
      <w:pPr>
        <w:spacing w:line="480" w:lineRule="auto"/>
        <w:ind w:left="0" w:firstLine="0"/>
        <w:rPr/>
      </w:pPr>
      <w:r w:rsidDel="00000000" w:rsidR="00000000" w:rsidRPr="00000000">
        <w:rPr>
          <w:rtl w:val="0"/>
        </w:rPr>
        <w:t xml:space="preserve">Due to the urgent need for effective restoration ecology solutions, developing tools that reduce fragmentation across knowledge systems and simplify the complexity of restoration efforts is essential. Grasslands, in particular, require robust restoration strategies given the extensive ecosystem services they provide and their disproportionately low representation in global climate policy. Persistent challenges, including low success rates and inefficient use of resources, continue to restrict restoration outcomes in grasslands, with limited frameworks in place to address these issues. The Ecolink Model (ELM) seeks to provide solutions to these barriers by enhancing the interoperability of scientific findings and facilitating efficient knowledge discovery. By systematically organizing key components of restoration systems and indexing their interactions, ELM supports more informed and effective decision-making. Although limitations remain, the model demonstrates strong potential to reduce barriers to restoration success. Expanding the model through larger datasets and automated extraction methods will further strengthen its applicability and establish ELM as a valuable tool in restoration ecology and conservation.</w:t>
      </w:r>
    </w:p>
    <w:p w:rsidR="00000000" w:rsidDel="00000000" w:rsidP="00000000" w:rsidRDefault="00000000" w:rsidRPr="00000000" w14:paraId="000001DD">
      <w:pPr>
        <w:spacing w:line="480" w:lineRule="auto"/>
        <w:ind w:left="0" w:firstLine="0"/>
        <w:rPr/>
      </w:pPr>
      <w:r w:rsidDel="00000000" w:rsidR="00000000" w:rsidRPr="00000000">
        <w:rPr>
          <w:rtl w:val="0"/>
        </w:rPr>
      </w:r>
    </w:p>
    <w:p w:rsidR="00000000" w:rsidDel="00000000" w:rsidP="00000000" w:rsidRDefault="00000000" w:rsidRPr="00000000" w14:paraId="000001DE">
      <w:pPr>
        <w:spacing w:line="480" w:lineRule="auto"/>
        <w:ind w:left="0" w:firstLine="0"/>
        <w:jc w:val="center"/>
        <w:rPr>
          <w:b w:val="1"/>
          <w:bCs w:val="1"/>
        </w:rPr>
      </w:pPr>
      <w:r w:rsidDel="00000000" w:rsidR="00000000" w:rsidRPr="00000000">
        <w:rPr>
          <w:b w:val="1"/>
          <w:bCs w:val="1"/>
          <w:rtl w:val="0"/>
        </w:rPr>
        <w:t xml:space="preserve">Work Cited</w:t>
      </w:r>
    </w:p>
    <w:p w:rsidR="00000000" w:rsidDel="00000000" w:rsidP="00000000" w:rsidRDefault="00000000" w:rsidRPr="00000000" w14:paraId="000001DF">
      <w:pPr>
        <w:spacing w:after="240" w:before="240" w:line="480" w:lineRule="auto"/>
        <w:ind w:left="720" w:hanging="720"/>
        <w:rPr>
          <w:color w:val="1155cc"/>
          <w:u w:val="single"/>
        </w:rPr>
      </w:pPr>
      <w:r w:rsidDel="00000000" w:rsidR="00000000" w:rsidRPr="00000000">
        <w:rPr>
          <w:rtl w:val="0"/>
        </w:rPr>
        <w:t xml:space="preserve">Alamenciak, T., Pomezanski, D., Shackelford, N., Murphy, S. D., Cooke, S. J., Rochefort, L., Voicescu, S., &amp; Higgs, E. (2023). Ecological restoration research in Canada: Who, what, where, when, why, and how? </w:t>
      </w:r>
      <w:r w:rsidDel="00000000" w:rsidR="00000000" w:rsidRPr="00000000">
        <w:rPr>
          <w:i w:val="1"/>
          <w:iCs w:val="1"/>
          <w:rtl w:val="0"/>
        </w:rPr>
        <w:t xml:space="preserve">FACETS, 8</w:t>
      </w:r>
      <w:r w:rsidDel="00000000" w:rsidR="00000000" w:rsidRPr="00000000">
        <w:rPr>
          <w:rtl w:val="0"/>
        </w:rPr>
        <w:t xml:space="preserve">, 1–11.</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https://doi.org/10.1139/facets-2022-0157</w:t>
        </w:r>
      </w:hyperlink>
      <w:r w:rsidDel="00000000" w:rsidR="00000000" w:rsidRPr="00000000">
        <w:rPr>
          <w:rtl w:val="0"/>
        </w:rPr>
      </w:r>
    </w:p>
    <w:p w:rsidR="00000000" w:rsidDel="00000000" w:rsidP="00000000" w:rsidRDefault="00000000" w:rsidRPr="00000000" w14:paraId="000001E0">
      <w:pPr>
        <w:spacing w:after="240" w:before="240" w:line="480" w:lineRule="auto"/>
        <w:ind w:left="720" w:hanging="720"/>
        <w:rPr>
          <w:color w:val="1155cc"/>
          <w:u w:val="single"/>
        </w:rPr>
      </w:pPr>
      <w:r w:rsidDel="00000000" w:rsidR="00000000" w:rsidRPr="00000000">
        <w:rPr>
          <w:rtl w:val="0"/>
        </w:rPr>
        <w:t xml:space="preserve">Alamenciak, T., et al. (2026). Ecolink: Towards a knowledge graph schema for complex environmental systems. In W. T. Balke et al. (Eds.), </w:t>
      </w:r>
      <w:r w:rsidDel="00000000" w:rsidR="00000000" w:rsidRPr="00000000">
        <w:rPr>
          <w:i w:val="1"/>
          <w:iCs w:val="1"/>
          <w:rtl w:val="0"/>
        </w:rPr>
        <w:t xml:space="preserve">New trends in theory and practice of digital libraries. TPDL 2025. Communications in computer and information science</w:t>
      </w:r>
      <w:r w:rsidDel="00000000" w:rsidR="00000000" w:rsidRPr="00000000">
        <w:rPr>
          <w:rtl w:val="0"/>
        </w:rPr>
        <w:t xml:space="preserve"> (Vol. 2694). Springer.</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https://doi.org/10.1007/978-3-032-06136-2_33</w:t>
        </w:r>
      </w:hyperlink>
      <w:r w:rsidDel="00000000" w:rsidR="00000000" w:rsidRPr="00000000">
        <w:rPr>
          <w:rtl w:val="0"/>
        </w:rPr>
      </w:r>
    </w:p>
    <w:p w:rsidR="00000000" w:rsidDel="00000000" w:rsidP="00000000" w:rsidRDefault="00000000" w:rsidRPr="00000000" w14:paraId="000001E1">
      <w:pPr>
        <w:spacing w:after="240" w:before="240" w:line="480" w:lineRule="auto"/>
        <w:ind w:left="720" w:hanging="720"/>
        <w:rPr/>
      </w:pPr>
      <w:r w:rsidDel="00000000" w:rsidR="00000000" w:rsidRPr="00000000">
        <w:rPr>
          <w:rtl w:val="0"/>
        </w:rPr>
        <w:t xml:space="preserve">Anderson, G., Delfosse, E., Spencer, N., Prosser, C., &amp; Richard, R. (1999). </w:t>
      </w:r>
      <w:r w:rsidDel="00000000" w:rsidR="00000000" w:rsidRPr="00000000">
        <w:rPr>
          <w:i w:val="1"/>
          <w:iCs w:val="1"/>
          <w:rtl w:val="0"/>
        </w:rPr>
        <w:t xml:space="preserve">Biological control of leafy spurge: An emerging success story</w:t>
      </w:r>
      <w:r w:rsidDel="00000000" w:rsidR="00000000" w:rsidRPr="00000000">
        <w:rPr>
          <w:rtl w:val="0"/>
        </w:rPr>
        <w:t xml:space="preserve">. JSTOR. https://www.jstor.org/stable/23780014</w:t>
      </w:r>
    </w:p>
    <w:p w:rsidR="00000000" w:rsidDel="00000000" w:rsidP="00000000" w:rsidRDefault="00000000" w:rsidRPr="00000000" w14:paraId="000001E2">
      <w:pPr>
        <w:spacing w:after="240" w:before="240" w:line="480" w:lineRule="auto"/>
        <w:ind w:left="720" w:hanging="720"/>
        <w:rPr>
          <w:color w:val="1155cc"/>
          <w:u w:val="single"/>
        </w:rPr>
      </w:pPr>
      <w:r w:rsidDel="00000000" w:rsidR="00000000" w:rsidRPr="00000000">
        <w:rPr>
          <w:rtl w:val="0"/>
        </w:rPr>
        <w:t xml:space="preserve">Avery, E., Krzic, M., Wallace, B. M., Newman, R. F., Bradfield, G. E., &amp; Smukler, S. M. (2019). Plant species composition and forage production 14 yr after biosolids application and grazing exclusion. </w:t>
      </w:r>
      <w:r w:rsidDel="00000000" w:rsidR="00000000" w:rsidRPr="00000000">
        <w:rPr>
          <w:i w:val="1"/>
          <w:iCs w:val="1"/>
          <w:rtl w:val="0"/>
        </w:rPr>
        <w:t xml:space="preserve">Rangeland Ecology &amp; Management, 72</w:t>
      </w:r>
      <w:r w:rsidDel="00000000" w:rsidR="00000000" w:rsidRPr="00000000">
        <w:rPr>
          <w:rtl w:val="0"/>
        </w:rPr>
        <w:t xml:space="preserve">(6), 996–1004.</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https://doi.org/10.1016/j.rama.2019.07.003</w:t>
        </w:r>
      </w:hyperlink>
      <w:r w:rsidDel="00000000" w:rsidR="00000000" w:rsidRPr="00000000">
        <w:rPr>
          <w:rtl w:val="0"/>
        </w:rPr>
      </w:r>
    </w:p>
    <w:p w:rsidR="00000000" w:rsidDel="00000000" w:rsidP="00000000" w:rsidRDefault="00000000" w:rsidRPr="00000000" w14:paraId="000001E3">
      <w:pPr>
        <w:spacing w:after="240" w:before="240" w:line="480" w:lineRule="auto"/>
        <w:ind w:left="720" w:hanging="720"/>
        <w:rPr/>
      </w:pPr>
      <w:r w:rsidDel="00000000" w:rsidR="00000000" w:rsidRPr="00000000">
        <w:rPr>
          <w:rtl w:val="0"/>
        </w:rPr>
        <w:t xml:space="preserve">Bakker, J. D., Wilson, S. D., Christian, J. M., Li, X., Ambrose, L. G. &amp; Waddington, J. (2003). Contingency of grassland restoration on year, site, and competition from introduced grasses. </w:t>
      </w:r>
      <w:r w:rsidDel="00000000" w:rsidR="00000000" w:rsidRPr="00000000">
        <w:rPr>
          <w:i w:val="1"/>
          <w:iCs w:val="1"/>
          <w:rtl w:val="0"/>
        </w:rPr>
        <w:t xml:space="preserve">Ecological Applications, 13</w:t>
      </w:r>
      <w:r w:rsidDel="00000000" w:rsidR="00000000" w:rsidRPr="00000000">
        <w:rPr>
          <w:rtl w:val="0"/>
        </w:rPr>
        <w:t xml:space="preserve">(1), 137–153.</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https://doi.org/10.1890/1051-0761(2003)013</w:t>
        </w:r>
      </w:hyperlink>
      <w:r w:rsidDel="00000000" w:rsidR="00000000" w:rsidRPr="00000000">
        <w:rPr>
          <w:rtl w:val="0"/>
        </w:rPr>
        <w:t xml:space="preserve">[0137:COGROY]2.0.CO;2</w:t>
      </w:r>
    </w:p>
    <w:p w:rsidR="00000000" w:rsidDel="00000000" w:rsidP="00000000" w:rsidRDefault="00000000" w:rsidRPr="00000000" w14:paraId="000001E4">
      <w:pPr>
        <w:spacing w:after="240" w:before="240" w:line="480" w:lineRule="auto"/>
        <w:ind w:left="720" w:hanging="720"/>
        <w:rPr>
          <w:color w:val="1155cc"/>
          <w:u w:val="single"/>
        </w:rPr>
      </w:pPr>
      <w:r w:rsidDel="00000000" w:rsidR="00000000" w:rsidRPr="00000000">
        <w:rPr>
          <w:rtl w:val="0"/>
        </w:rPr>
        <w:t xml:space="preserve">Bengtsson, J., Bullock, J. M., Egoh, B., Everson, C., Everson, T., O’Connor, T., O’Farrell, P. J., Smith, H. G., &amp; Lindborg, R. (2019). Grasslands—more important for ecosystem services than you might think. </w:t>
      </w:r>
      <w:r w:rsidDel="00000000" w:rsidR="00000000" w:rsidRPr="00000000">
        <w:rPr>
          <w:i w:val="1"/>
          <w:iCs w:val="1"/>
          <w:rtl w:val="0"/>
        </w:rPr>
        <w:t xml:space="preserve">Ecosphere, 10</w:t>
      </w:r>
      <w:r w:rsidDel="00000000" w:rsidR="00000000" w:rsidRPr="00000000">
        <w:rPr>
          <w:rtl w:val="0"/>
        </w:rPr>
        <w:t xml:space="preserve">(2), Article e02582.</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https://doi.org/10.1002/ecs2.2582</w:t>
        </w:r>
      </w:hyperlink>
      <w:r w:rsidDel="00000000" w:rsidR="00000000" w:rsidRPr="00000000">
        <w:rPr>
          <w:rtl w:val="0"/>
        </w:rPr>
      </w:r>
    </w:p>
    <w:p w:rsidR="00000000" w:rsidDel="00000000" w:rsidP="00000000" w:rsidRDefault="00000000" w:rsidRPr="00000000" w14:paraId="000001E5">
      <w:pPr>
        <w:spacing w:after="240" w:before="240" w:line="480" w:lineRule="auto"/>
        <w:ind w:left="720" w:hanging="720"/>
        <w:rPr>
          <w:color w:val="1155cc"/>
          <w:u w:val="single"/>
        </w:rPr>
      </w:pPr>
      <w:r w:rsidDel="00000000" w:rsidR="00000000" w:rsidRPr="00000000">
        <w:rPr>
          <w:rtl w:val="0"/>
        </w:rPr>
        <w:t xml:space="preserve">Block, W. M., Franklin, A. B., Ward, J. P., Jr., Ganey, J. L., &amp; White, G. C. (2001). </w:t>
      </w:r>
      <w:r w:rsidDel="00000000" w:rsidR="00000000" w:rsidRPr="00000000">
        <w:rPr>
          <w:i w:val="1"/>
          <w:iCs w:val="1"/>
          <w:rtl w:val="0"/>
        </w:rPr>
        <w:t xml:space="preserve">Design and implementation of monitoring studies to evaluate the success of ecological restoration on wildlife</w:t>
      </w:r>
      <w:r w:rsidDel="00000000" w:rsidR="00000000" w:rsidRPr="00000000">
        <w:rPr>
          <w:rtl w:val="0"/>
        </w:rPr>
        <w:t xml:space="preserve">. U.S. Department of Agriculture, Forest Service, Rocky Mountain Research Station.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https://www.fs.usda.gov/rm/pubs_other/rmrs_2001_block_w001.pdf</w:t>
        </w:r>
      </w:hyperlink>
      <w:r w:rsidDel="00000000" w:rsidR="00000000" w:rsidRPr="00000000">
        <w:rPr>
          <w:rtl w:val="0"/>
        </w:rPr>
      </w:r>
    </w:p>
    <w:p w:rsidR="00000000" w:rsidDel="00000000" w:rsidP="00000000" w:rsidRDefault="00000000" w:rsidRPr="00000000" w14:paraId="000001E6">
      <w:pPr>
        <w:spacing w:after="240" w:before="240" w:line="480" w:lineRule="auto"/>
        <w:ind w:left="720" w:hanging="720"/>
        <w:rPr>
          <w:color w:val="1155cc"/>
          <w:u w:val="single"/>
        </w:rPr>
      </w:pPr>
      <w:r w:rsidDel="00000000" w:rsidR="00000000" w:rsidRPr="00000000">
        <w:rPr>
          <w:rtl w:val="0"/>
        </w:rPr>
        <w:t xml:space="preserve">Bojanowski, M. (2022). </w:t>
      </w:r>
      <w:r w:rsidDel="00000000" w:rsidR="00000000" w:rsidRPr="00000000">
        <w:rPr>
          <w:i w:val="1"/>
          <w:iCs w:val="1"/>
          <w:rtl w:val="0"/>
        </w:rPr>
        <w:t xml:space="preserve">intergraph: Coercion routines for network data objects</w:t>
      </w:r>
      <w:r w:rsidDel="00000000" w:rsidR="00000000" w:rsidRPr="00000000">
        <w:rPr>
          <w:rtl w:val="0"/>
        </w:rPr>
        <w:t xml:space="preserve"> (R package).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https://CRAN.R-project.org/package=intergraph</w:t>
        </w:r>
      </w:hyperlink>
      <w:r w:rsidDel="00000000" w:rsidR="00000000" w:rsidRPr="00000000">
        <w:rPr>
          <w:rtl w:val="0"/>
        </w:rPr>
      </w:r>
    </w:p>
    <w:p w:rsidR="00000000" w:rsidDel="00000000" w:rsidP="00000000" w:rsidRDefault="00000000" w:rsidRPr="00000000" w14:paraId="000001E7">
      <w:pPr>
        <w:spacing w:after="240" w:before="240" w:line="480" w:lineRule="auto"/>
        <w:ind w:left="720" w:hanging="720"/>
        <w:rPr>
          <w:color w:val="1155cc"/>
          <w:u w:val="single"/>
        </w:rPr>
      </w:pPr>
      <w:r w:rsidDel="00000000" w:rsidR="00000000" w:rsidRPr="00000000">
        <w:rPr>
          <w:rtl w:val="0"/>
        </w:rPr>
        <w:t xml:space="preserve">Butts, C. T. (2015). </w:t>
      </w:r>
      <w:r w:rsidDel="00000000" w:rsidR="00000000" w:rsidRPr="00000000">
        <w:rPr>
          <w:i w:val="1"/>
          <w:iCs w:val="1"/>
          <w:rtl w:val="0"/>
        </w:rPr>
        <w:t xml:space="preserve">network: Classes for relational data</w:t>
      </w:r>
      <w:r w:rsidDel="00000000" w:rsidR="00000000" w:rsidRPr="00000000">
        <w:rPr>
          <w:rtl w:val="0"/>
        </w:rPr>
        <w:t xml:space="preserve"> (R package). The Statnet Project.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https://CRAN.R-project.org/package=network</w:t>
        </w:r>
      </w:hyperlink>
      <w:r w:rsidDel="00000000" w:rsidR="00000000" w:rsidRPr="00000000">
        <w:rPr>
          <w:rtl w:val="0"/>
        </w:rPr>
      </w:r>
    </w:p>
    <w:p w:rsidR="00000000" w:rsidDel="00000000" w:rsidP="00000000" w:rsidRDefault="00000000" w:rsidRPr="00000000" w14:paraId="000001E8">
      <w:pPr>
        <w:spacing w:after="240" w:before="240" w:line="480" w:lineRule="auto"/>
        <w:ind w:left="720" w:hanging="720"/>
        <w:rPr>
          <w:color w:val="1155cc"/>
          <w:u w:val="single"/>
        </w:rPr>
      </w:pPr>
      <w:r w:rsidDel="00000000" w:rsidR="00000000" w:rsidRPr="00000000">
        <w:rPr>
          <w:rtl w:val="0"/>
        </w:rPr>
        <w:t xml:space="preserve">Butts, C. T. (2023). </w:t>
      </w:r>
      <w:r w:rsidDel="00000000" w:rsidR="00000000" w:rsidRPr="00000000">
        <w:rPr>
          <w:i w:val="1"/>
          <w:iCs w:val="1"/>
          <w:rtl w:val="0"/>
        </w:rPr>
        <w:t xml:space="preserve">sna: Tools for social network analysis</w:t>
      </w:r>
      <w:r w:rsidDel="00000000" w:rsidR="00000000" w:rsidRPr="00000000">
        <w:rPr>
          <w:rtl w:val="0"/>
        </w:rPr>
        <w:t xml:space="preserve"> (R package).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https://CRAN.R-project.org/package=sna</w:t>
        </w:r>
      </w:hyperlink>
      <w:r w:rsidDel="00000000" w:rsidR="00000000" w:rsidRPr="00000000">
        <w:rPr>
          <w:rtl w:val="0"/>
        </w:rPr>
      </w:r>
    </w:p>
    <w:p w:rsidR="00000000" w:rsidDel="00000000" w:rsidP="00000000" w:rsidRDefault="00000000" w:rsidRPr="00000000" w14:paraId="000001E9">
      <w:pPr>
        <w:spacing w:after="240" w:before="240" w:line="480" w:lineRule="auto"/>
        <w:ind w:left="720" w:hanging="720"/>
        <w:rPr>
          <w:color w:val="1155cc"/>
          <w:u w:val="single"/>
        </w:rPr>
      </w:pPr>
      <w:r w:rsidDel="00000000" w:rsidR="00000000" w:rsidRPr="00000000">
        <w:rPr>
          <w:rtl w:val="0"/>
        </w:rPr>
        <w:t xml:space="preserve">Buxton, R. T., Hamit, S., Geauvreau, J. J. W., Davis, S., Smith, P. A., &amp; Bennett, J. R. (2022). Balancing research, monitoring, and action to recover Canada’s species at risk. </w:t>
      </w:r>
      <w:r w:rsidDel="00000000" w:rsidR="00000000" w:rsidRPr="00000000">
        <w:rPr>
          <w:i w:val="1"/>
          <w:iCs w:val="1"/>
          <w:rtl w:val="0"/>
        </w:rPr>
        <w:t xml:space="preserve">Environmental Science &amp; Policy, 132</w:t>
      </w:r>
      <w:r w:rsidDel="00000000" w:rsidR="00000000" w:rsidRPr="00000000">
        <w:rPr>
          <w:rtl w:val="0"/>
        </w:rPr>
        <w:t xml:space="preserve">, 198–205.</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https://doi.org/10.1016/j.envsci.2022.02.018</w:t>
        </w:r>
      </w:hyperlink>
      <w:r w:rsidDel="00000000" w:rsidR="00000000" w:rsidRPr="00000000">
        <w:rPr>
          <w:rtl w:val="0"/>
        </w:rPr>
      </w:r>
    </w:p>
    <w:p w:rsidR="00000000" w:rsidDel="00000000" w:rsidP="00000000" w:rsidRDefault="00000000" w:rsidRPr="00000000" w14:paraId="000001EA">
      <w:pPr>
        <w:spacing w:after="240" w:before="240" w:line="480" w:lineRule="auto"/>
        <w:ind w:left="720" w:hanging="720"/>
        <w:rPr>
          <w:color w:val="1155cc"/>
          <w:u w:val="single"/>
        </w:rPr>
      </w:pPr>
      <w:r w:rsidDel="00000000" w:rsidR="00000000" w:rsidRPr="00000000">
        <w:rPr>
          <w:rtl w:val="0"/>
        </w:rPr>
        <w:t xml:space="preserve">Buxton, R. T., Nyboer, E. A., Pigeon, K. E., et al. (2021). Avoiding wasted research resources in conservation science. </w:t>
      </w:r>
      <w:r w:rsidDel="00000000" w:rsidR="00000000" w:rsidRPr="00000000">
        <w:rPr>
          <w:i w:val="1"/>
          <w:iCs w:val="1"/>
          <w:rtl w:val="0"/>
        </w:rPr>
        <w:t xml:space="preserve">Conservation Science and Practice, 3</w:t>
      </w:r>
      <w:r w:rsidDel="00000000" w:rsidR="00000000" w:rsidRPr="00000000">
        <w:rPr>
          <w:rtl w:val="0"/>
        </w:rPr>
        <w:t xml:space="preserve">(3), Article e329.</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https://doi.org/10.1111/csp2.329</w:t>
        </w:r>
      </w:hyperlink>
      <w:r w:rsidDel="00000000" w:rsidR="00000000" w:rsidRPr="00000000">
        <w:rPr>
          <w:rtl w:val="0"/>
        </w:rPr>
      </w:r>
    </w:p>
    <w:p w:rsidR="00000000" w:rsidDel="00000000" w:rsidP="00000000" w:rsidRDefault="00000000" w:rsidRPr="00000000" w14:paraId="000001EB">
      <w:pPr>
        <w:spacing w:after="240" w:before="240" w:line="480" w:lineRule="auto"/>
        <w:ind w:left="720" w:hanging="720"/>
        <w:rPr/>
      </w:pPr>
      <w:r w:rsidDel="00000000" w:rsidR="00000000" w:rsidRPr="00000000">
        <w:rPr>
          <w:rtl w:val="0"/>
        </w:rPr>
        <w:t xml:space="preserve">Cai, E., &amp; O’Connor, B. (2025). Understanding the effect of knowledge graph extraction error on downstream graph analyses: A case study on affiliation graphs. Applied Network Science, 10, 64. </w:t>
      </w:r>
      <w:hyperlink r:id="rId28">
        <w:r w:rsidDel="00000000" w:rsidR="00000000" w:rsidRPr="00000000">
          <w:rPr>
            <w:color w:val="1155cc"/>
            <w:u w:val="single"/>
            <w:rtl w:val="0"/>
          </w:rPr>
          <w:t xml:space="preserve">https://doi.org/10.1007/s41109-025-00749-0</w:t>
        </w:r>
      </w:hyperlink>
      <w:r w:rsidDel="00000000" w:rsidR="00000000" w:rsidRPr="00000000">
        <w:rPr>
          <w:rtl w:val="0"/>
        </w:rPr>
      </w:r>
    </w:p>
    <w:p w:rsidR="00000000" w:rsidDel="00000000" w:rsidP="00000000" w:rsidRDefault="00000000" w:rsidRPr="00000000" w14:paraId="000001EC">
      <w:pPr>
        <w:spacing w:after="240" w:before="240" w:line="480" w:lineRule="auto"/>
        <w:ind w:left="0" w:firstLine="0"/>
        <w:rPr>
          <w:color w:val="1155cc"/>
          <w:u w:val="single"/>
        </w:rPr>
      </w:pPr>
      <w:r w:rsidDel="00000000" w:rsidR="00000000" w:rsidRPr="00000000">
        <w:rPr>
          <w:rtl w:val="0"/>
        </w:rPr>
        <w:t xml:space="preserve">Centrality. (2026, April 7). In </w:t>
      </w:r>
      <w:r w:rsidDel="00000000" w:rsidR="00000000" w:rsidRPr="00000000">
        <w:rPr>
          <w:i w:val="1"/>
          <w:iCs w:val="1"/>
          <w:rtl w:val="0"/>
        </w:rPr>
        <w:t xml:space="preserve">Wikipedia</w:t>
      </w: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https://en.wikipedia.org/wiki/Centrality</w:t>
        </w:r>
      </w:hyperlink>
      <w:r w:rsidDel="00000000" w:rsidR="00000000" w:rsidRPr="00000000">
        <w:rPr>
          <w:rtl w:val="0"/>
        </w:rPr>
      </w:r>
    </w:p>
    <w:p w:rsidR="00000000" w:rsidDel="00000000" w:rsidP="00000000" w:rsidRDefault="00000000" w:rsidRPr="00000000" w14:paraId="000001ED">
      <w:pPr>
        <w:spacing w:after="240" w:before="240" w:line="480" w:lineRule="auto"/>
        <w:ind w:left="720" w:hanging="720"/>
        <w:rPr>
          <w:color w:val="1155cc"/>
          <w:u w:val="single"/>
        </w:rPr>
      </w:pPr>
      <w:r w:rsidDel="00000000" w:rsidR="00000000" w:rsidRPr="00000000">
        <w:rPr>
          <w:rtl w:val="0"/>
        </w:rPr>
        <w:t xml:space="preserve">Chadwick, K. D., Davis, F., Miner, K. R., Pavlick, R., Reynolds, M., Townsend, P. G., Brodrick, P. G., et al. (2025). Unlocking ecological insights from sub-seasonal visible-to-shortwave infrared imaging spectroscopy: The SHIFT campaign. </w:t>
      </w:r>
      <w:r w:rsidDel="00000000" w:rsidR="00000000" w:rsidRPr="00000000">
        <w:rPr>
          <w:i w:val="1"/>
          <w:iCs w:val="1"/>
          <w:rtl w:val="0"/>
        </w:rPr>
        <w:t xml:space="preserve">Ecosphere, 16</w:t>
      </w:r>
      <w:r w:rsidDel="00000000" w:rsidR="00000000" w:rsidRPr="00000000">
        <w:rPr>
          <w:rtl w:val="0"/>
        </w:rPr>
        <w:t xml:space="preserve">(3), Article e70194.</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https://doi.org/10.1002/ecs2.70194</w:t>
        </w:r>
      </w:hyperlink>
      <w:r w:rsidDel="00000000" w:rsidR="00000000" w:rsidRPr="00000000">
        <w:rPr>
          <w:rtl w:val="0"/>
        </w:rPr>
      </w:r>
    </w:p>
    <w:p w:rsidR="00000000" w:rsidDel="00000000" w:rsidP="00000000" w:rsidRDefault="00000000" w:rsidRPr="00000000" w14:paraId="000001EE">
      <w:pPr>
        <w:spacing w:after="240" w:before="240" w:line="480" w:lineRule="auto"/>
        <w:ind w:left="720" w:hanging="720"/>
        <w:rPr>
          <w:color w:val="1155cc"/>
          <w:u w:val="single"/>
        </w:rPr>
      </w:pPr>
      <w:r w:rsidDel="00000000" w:rsidR="00000000" w:rsidRPr="00000000">
        <w:rPr>
          <w:rtl w:val="0"/>
        </w:rPr>
        <w:t xml:space="preserve">Cranmer, S. J., Butts, C. T., Krivitsky, P. N., &amp; statnet development team. (2024). </w:t>
      </w:r>
      <w:r w:rsidDel="00000000" w:rsidR="00000000" w:rsidRPr="00000000">
        <w:rPr>
          <w:i w:val="1"/>
          <w:iCs w:val="1"/>
          <w:rtl w:val="0"/>
        </w:rPr>
        <w:t xml:space="preserve">ndtv: Network dynamic temporal visualizations</w:t>
      </w:r>
      <w:r w:rsidDel="00000000" w:rsidR="00000000" w:rsidRPr="00000000">
        <w:rPr>
          <w:rtl w:val="0"/>
        </w:rPr>
        <w:t xml:space="preserve"> (R package).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https://CRAN.R-project.org/package=ndtv</w:t>
        </w:r>
      </w:hyperlink>
      <w:r w:rsidDel="00000000" w:rsidR="00000000" w:rsidRPr="00000000">
        <w:rPr>
          <w:rtl w:val="0"/>
        </w:rPr>
      </w:r>
    </w:p>
    <w:p w:rsidR="00000000" w:rsidDel="00000000" w:rsidP="00000000" w:rsidRDefault="00000000" w:rsidRPr="00000000" w14:paraId="000001EF">
      <w:pPr>
        <w:spacing w:after="240" w:before="240" w:line="480" w:lineRule="auto"/>
        <w:ind w:left="720" w:hanging="720"/>
        <w:rPr/>
      </w:pPr>
      <w:r w:rsidDel="00000000" w:rsidR="00000000" w:rsidRPr="00000000">
        <w:rPr>
          <w:rtl w:val="0"/>
        </w:rPr>
        <w:t xml:space="preserve">Csárdi, G., &amp; Nepusz, T. (2006). The igraph software package for complex network research. </w:t>
      </w:r>
      <w:r w:rsidDel="00000000" w:rsidR="00000000" w:rsidRPr="00000000">
        <w:rPr>
          <w:i w:val="1"/>
          <w:iCs w:val="1"/>
          <w:rtl w:val="0"/>
        </w:rPr>
        <w:t xml:space="preserve">InterJournal, Complex Systems</w:t>
      </w:r>
      <w:r w:rsidDel="00000000" w:rsidR="00000000" w:rsidRPr="00000000">
        <w:rPr>
          <w:rtl w:val="0"/>
        </w:rPr>
        <w:t xml:space="preserve">, 1695.</w:t>
      </w:r>
    </w:p>
    <w:p w:rsidR="00000000" w:rsidDel="00000000" w:rsidP="00000000" w:rsidRDefault="00000000" w:rsidRPr="00000000" w14:paraId="000001F0">
      <w:pPr>
        <w:spacing w:after="240" w:before="240" w:line="480" w:lineRule="auto"/>
        <w:ind w:left="720" w:hanging="720"/>
        <w:rPr>
          <w:color w:val="1155cc"/>
          <w:u w:val="single"/>
        </w:rPr>
      </w:pPr>
      <w:r w:rsidDel="00000000" w:rsidR="00000000" w:rsidRPr="00000000">
        <w:rPr>
          <w:rtl w:val="0"/>
        </w:rPr>
        <w:t xml:space="preserve">DataHub. (n.d.). </w:t>
      </w:r>
      <w:r w:rsidDel="00000000" w:rsidR="00000000" w:rsidRPr="00000000">
        <w:rPr>
          <w:i w:val="1"/>
          <w:iCs w:val="1"/>
          <w:rtl w:val="0"/>
        </w:rPr>
        <w:t xml:space="preserve">Threatened species</w:t>
      </w: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https://datahub.io/core/threatened-species</w:t>
        </w:r>
      </w:hyperlink>
      <w:r w:rsidDel="00000000" w:rsidR="00000000" w:rsidRPr="00000000">
        <w:rPr>
          <w:rtl w:val="0"/>
        </w:rPr>
      </w:r>
    </w:p>
    <w:p w:rsidR="00000000" w:rsidDel="00000000" w:rsidP="00000000" w:rsidRDefault="00000000" w:rsidRPr="00000000" w14:paraId="000001F1">
      <w:pPr>
        <w:spacing w:after="240" w:before="240" w:line="480" w:lineRule="auto"/>
        <w:ind w:left="720" w:hanging="720"/>
        <w:rPr>
          <w:color w:val="1155cc"/>
          <w:u w:val="single"/>
        </w:rPr>
      </w:pPr>
      <w:r w:rsidDel="00000000" w:rsidR="00000000" w:rsidRPr="00000000">
        <w:rPr>
          <w:rtl w:val="0"/>
        </w:rPr>
        <w:t xml:space="preserve">Desserud, P., Gates, C. C., Adams, B., &amp; Revel, R. D. (2010). Restoration of foothills rough fescue grassland following pipeline disturbance in southwestern Alberta. </w:t>
      </w:r>
      <w:r w:rsidDel="00000000" w:rsidR="00000000" w:rsidRPr="00000000">
        <w:rPr>
          <w:i w:val="1"/>
          <w:iCs w:val="1"/>
          <w:rtl w:val="0"/>
        </w:rPr>
        <w:t xml:space="preserve">Journal of Environmental Management, 91</w:t>
      </w:r>
      <w:r w:rsidDel="00000000" w:rsidR="00000000" w:rsidRPr="00000000">
        <w:rPr>
          <w:rtl w:val="0"/>
        </w:rPr>
        <w:t xml:space="preserve">(12), 2763–2770.</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https://doi.org/10.1016/j.jenvman.2010.08.006</w:t>
        </w:r>
      </w:hyperlink>
      <w:r w:rsidDel="00000000" w:rsidR="00000000" w:rsidRPr="00000000">
        <w:rPr>
          <w:rtl w:val="0"/>
        </w:rPr>
      </w:r>
    </w:p>
    <w:p w:rsidR="00000000" w:rsidDel="00000000" w:rsidP="00000000" w:rsidRDefault="00000000" w:rsidRPr="00000000" w14:paraId="000001F2">
      <w:pPr>
        <w:spacing w:after="240" w:before="240" w:line="480" w:lineRule="auto"/>
        <w:ind w:left="720" w:hanging="720"/>
        <w:rPr>
          <w:color w:val="1155cc"/>
          <w:u w:val="single"/>
        </w:rPr>
      </w:pPr>
      <w:r w:rsidDel="00000000" w:rsidR="00000000" w:rsidRPr="00000000">
        <w:rPr>
          <w:rtl w:val="0"/>
        </w:rPr>
        <w:t xml:space="preserve">Desserud, P., &amp; Naeth, M. A. (2013a). Establishment of a native bunch grass and an invasive perennial on disturbed land using straw-amended soil. </w:t>
      </w:r>
      <w:r w:rsidDel="00000000" w:rsidR="00000000" w:rsidRPr="00000000">
        <w:rPr>
          <w:i w:val="1"/>
          <w:iCs w:val="1"/>
          <w:rtl w:val="0"/>
        </w:rPr>
        <w:t xml:space="preserve">Journal of Environmental Management, 114</w:t>
      </w:r>
      <w:r w:rsidDel="00000000" w:rsidR="00000000" w:rsidRPr="00000000">
        <w:rPr>
          <w:rtl w:val="0"/>
        </w:rPr>
        <w:t xml:space="preserve">, 540–547.</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https://doi.org/10.1016/j.jenvman.2012.11.001</w:t>
        </w:r>
      </w:hyperlink>
      <w:r w:rsidDel="00000000" w:rsidR="00000000" w:rsidRPr="00000000">
        <w:rPr>
          <w:rtl w:val="0"/>
        </w:rPr>
      </w:r>
    </w:p>
    <w:p w:rsidR="00000000" w:rsidDel="00000000" w:rsidP="00000000" w:rsidRDefault="00000000" w:rsidRPr="00000000" w14:paraId="000001F3">
      <w:pPr>
        <w:spacing w:after="240" w:before="240" w:line="480" w:lineRule="auto"/>
        <w:ind w:left="720" w:hanging="720"/>
        <w:rPr>
          <w:color w:val="1155cc"/>
          <w:u w:val="single"/>
        </w:rPr>
      </w:pPr>
      <w:r w:rsidDel="00000000" w:rsidR="00000000" w:rsidRPr="00000000">
        <w:rPr>
          <w:rtl w:val="0"/>
        </w:rPr>
        <w:t xml:space="preserve">Desserud, P., &amp; Naeth, M. A. (2013b). Natural recovery of rough fescue (</w:t>
      </w:r>
      <w:r w:rsidDel="00000000" w:rsidR="00000000" w:rsidRPr="00000000">
        <w:rPr>
          <w:i w:val="1"/>
          <w:iCs w:val="1"/>
          <w:rtl w:val="0"/>
        </w:rPr>
        <w:t xml:space="preserve">Festuca hallii</w:t>
      </w:r>
      <w:r w:rsidDel="00000000" w:rsidR="00000000" w:rsidRPr="00000000">
        <w:rPr>
          <w:rtl w:val="0"/>
        </w:rPr>
        <w:t xml:space="preserve"> (Vasey) Piper) grassland after disturbance by pipeline construction in central Alberta, Canada. </w:t>
      </w:r>
      <w:r w:rsidDel="00000000" w:rsidR="00000000" w:rsidRPr="00000000">
        <w:rPr>
          <w:i w:val="1"/>
          <w:iCs w:val="1"/>
          <w:rtl w:val="0"/>
        </w:rPr>
        <w:t xml:space="preserve">Natural Areas Journal, 33</w:t>
      </w:r>
      <w:r w:rsidDel="00000000" w:rsidR="00000000" w:rsidRPr="00000000">
        <w:rPr>
          <w:rtl w:val="0"/>
        </w:rPr>
        <w:t xml:space="preserve">(1), 91–98.</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https://doi.org/10.3375/043.033.0111</w:t>
        </w:r>
      </w:hyperlink>
      <w:r w:rsidDel="00000000" w:rsidR="00000000" w:rsidRPr="00000000">
        <w:rPr>
          <w:rtl w:val="0"/>
        </w:rPr>
      </w:r>
    </w:p>
    <w:p w:rsidR="00000000" w:rsidDel="00000000" w:rsidP="00000000" w:rsidRDefault="00000000" w:rsidRPr="00000000" w14:paraId="000001F4">
      <w:pPr>
        <w:spacing w:after="240" w:before="240" w:line="480" w:lineRule="auto"/>
        <w:ind w:left="720" w:hanging="720"/>
        <w:rPr>
          <w:color w:val="1155cc"/>
          <w:u w:val="single"/>
        </w:rPr>
      </w:pPr>
      <w:r w:rsidDel="00000000" w:rsidR="00000000" w:rsidRPr="00000000">
        <w:rPr>
          <w:rtl w:val="0"/>
        </w:rPr>
        <w:t xml:space="preserve">Frühstückl, R. (2025). Spatiotemporal variability and extrapolation from ecological experiments. </w:t>
      </w:r>
      <w:r w:rsidDel="00000000" w:rsidR="00000000" w:rsidRPr="00000000">
        <w:rPr>
          <w:i w:val="1"/>
          <w:iCs w:val="1"/>
          <w:rtl w:val="0"/>
        </w:rPr>
        <w:t xml:space="preserve">Biology &amp; Philosophy, 40</w:t>
      </w:r>
      <w:r w:rsidDel="00000000" w:rsidR="00000000" w:rsidRPr="00000000">
        <w:rPr>
          <w:rtl w:val="0"/>
        </w:rPr>
        <w:t xml:space="preserve">, Article 9.</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https://doi.org/10.1007/s10539-025-09981-5</w:t>
        </w:r>
      </w:hyperlink>
      <w:r w:rsidDel="00000000" w:rsidR="00000000" w:rsidRPr="00000000">
        <w:rPr>
          <w:rtl w:val="0"/>
        </w:rPr>
      </w:r>
    </w:p>
    <w:p w:rsidR="00000000" w:rsidDel="00000000" w:rsidP="00000000" w:rsidRDefault="00000000" w:rsidRPr="00000000" w14:paraId="000001F5">
      <w:pPr>
        <w:spacing w:after="240" w:before="240" w:line="480" w:lineRule="auto"/>
        <w:ind w:left="720" w:hanging="720"/>
        <w:rPr>
          <w:color w:val="1155cc"/>
          <w:u w:val="single"/>
        </w:rPr>
      </w:pPr>
      <w:r w:rsidDel="00000000" w:rsidR="00000000" w:rsidRPr="00000000">
        <w:rPr>
          <w:rtl w:val="0"/>
        </w:rPr>
        <w:t xml:space="preserve">Haq, S. M., Pieroni, A., Bussmann, R. W., Abd-ElGawad, A. M., &amp; El-Ansary, H. O. (2023). Integrating traditional ecological knowledge into habitat restoration: Implications for meeting forest restoration challenges. </w:t>
      </w:r>
      <w:r w:rsidDel="00000000" w:rsidR="00000000" w:rsidRPr="00000000">
        <w:rPr>
          <w:i w:val="1"/>
          <w:iCs w:val="1"/>
          <w:rtl w:val="0"/>
        </w:rPr>
        <w:t xml:space="preserve">Journal of Ethnobiology and Ethnomedicine, 19</w:t>
      </w:r>
      <w:r w:rsidDel="00000000" w:rsidR="00000000" w:rsidRPr="00000000">
        <w:rPr>
          <w:rtl w:val="0"/>
        </w:rPr>
        <w:t xml:space="preserve">, Article 33.</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https://doi.org/10.1186/s13002-023-00606-3</w:t>
        </w:r>
      </w:hyperlink>
      <w:r w:rsidDel="00000000" w:rsidR="00000000" w:rsidRPr="00000000">
        <w:rPr>
          <w:rtl w:val="0"/>
        </w:rPr>
      </w:r>
    </w:p>
    <w:p w:rsidR="00000000" w:rsidDel="00000000" w:rsidP="00000000" w:rsidRDefault="00000000" w:rsidRPr="00000000" w14:paraId="000001F6">
      <w:pPr>
        <w:spacing w:after="240" w:before="240" w:line="480" w:lineRule="auto"/>
        <w:ind w:left="720" w:hanging="720"/>
        <w:rPr>
          <w:color w:val="1155cc"/>
          <w:u w:val="single"/>
        </w:rPr>
      </w:pPr>
      <w:r w:rsidDel="00000000" w:rsidR="00000000" w:rsidRPr="00000000">
        <w:rPr>
          <w:rtl w:val="0"/>
        </w:rPr>
        <w:t xml:space="preserve">Heger, T., Jeschke, J. M., Febria, C., Kollmann, J., Murphy, S., Rochefort, L., Shackelford, N., Temperton, V. M., &amp; Higgs, E. (2024). Mapping and assessing the knowledge base of ecological restoration. </w:t>
      </w:r>
      <w:r w:rsidDel="00000000" w:rsidR="00000000" w:rsidRPr="00000000">
        <w:rPr>
          <w:i w:val="1"/>
          <w:iCs w:val="1"/>
          <w:rtl w:val="0"/>
        </w:rPr>
        <w:t xml:space="preserve">Restoration Ecology, 32</w:t>
      </w:r>
      <w:r w:rsidDel="00000000" w:rsidR="00000000" w:rsidRPr="00000000">
        <w:rPr>
          <w:rtl w:val="0"/>
        </w:rPr>
        <w:t xml:space="preserve">(4), Article e13676.</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https://doi.org/10.1111/rec.13676</w:t>
        </w:r>
      </w:hyperlink>
      <w:r w:rsidDel="00000000" w:rsidR="00000000" w:rsidRPr="00000000">
        <w:rPr>
          <w:rtl w:val="0"/>
        </w:rPr>
      </w:r>
    </w:p>
    <w:p w:rsidR="00000000" w:rsidDel="00000000" w:rsidP="00000000" w:rsidRDefault="00000000" w:rsidRPr="00000000" w14:paraId="000001F7">
      <w:pPr>
        <w:spacing w:after="240" w:before="240" w:line="480" w:lineRule="auto"/>
        <w:ind w:left="720" w:hanging="720"/>
        <w:rPr>
          <w:color w:val="1155cc"/>
          <w:u w:val="single"/>
        </w:rPr>
      </w:pPr>
      <w:r w:rsidDel="00000000" w:rsidR="00000000" w:rsidRPr="00000000">
        <w:rPr>
          <w:rtl w:val="0"/>
        </w:rPr>
        <w:t xml:space="preserve">Holl, K. D., Loik, M. E., Lin, E. H. V., &amp; Samuels, I. A. (2003). Tropical montane forest restoration in Costa Rica: Overcoming barriers to dispersal and establishment. </w:t>
      </w:r>
      <w:r w:rsidDel="00000000" w:rsidR="00000000" w:rsidRPr="00000000">
        <w:rPr>
          <w:i w:val="1"/>
          <w:iCs w:val="1"/>
          <w:rtl w:val="0"/>
        </w:rPr>
        <w:t xml:space="preserve">Restoration Ecology, 11</w:t>
      </w:r>
      <w:r w:rsidDel="00000000" w:rsidR="00000000" w:rsidRPr="00000000">
        <w:rPr>
          <w:rtl w:val="0"/>
        </w:rPr>
        <w:t xml:space="preserve">(3), 311–319.</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https://doi.org/10.1046/j.1526-100X.2003.00215.x</w:t>
        </w:r>
      </w:hyperlink>
      <w:r w:rsidDel="00000000" w:rsidR="00000000" w:rsidRPr="00000000">
        <w:rPr>
          <w:rtl w:val="0"/>
        </w:rPr>
      </w:r>
    </w:p>
    <w:p w:rsidR="00000000" w:rsidDel="00000000" w:rsidP="00000000" w:rsidRDefault="00000000" w:rsidRPr="00000000" w14:paraId="000001F8">
      <w:pPr>
        <w:spacing w:after="240" w:before="240" w:line="480" w:lineRule="auto"/>
        <w:ind w:left="720" w:hanging="720"/>
        <w:rPr>
          <w:color w:val="1155cc"/>
          <w:u w:val="single"/>
        </w:rPr>
      </w:pPr>
      <w:r w:rsidDel="00000000" w:rsidR="00000000" w:rsidRPr="00000000">
        <w:rPr>
          <w:rtl w:val="0"/>
        </w:rPr>
        <w:t xml:space="preserve">Holster, J. D. (2022, July 10). </w:t>
      </w:r>
      <w:r w:rsidDel="00000000" w:rsidR="00000000" w:rsidRPr="00000000">
        <w:rPr>
          <w:i w:val="1"/>
          <w:iCs w:val="1"/>
          <w:rtl w:val="0"/>
        </w:rPr>
        <w:t xml:space="preserve">Introduction to R for data science: A LISA 2020 guidebook</w:t>
      </w:r>
      <w:r w:rsidDel="00000000" w:rsidR="00000000" w:rsidRPr="00000000">
        <w:rPr>
          <w:rtl w:val="0"/>
        </w:rPr>
        <w:t xml:space="preserv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https://bookdown.org/jdholster1/idsr/</w:t>
        </w:r>
      </w:hyperlink>
      <w:r w:rsidDel="00000000" w:rsidR="00000000" w:rsidRPr="00000000">
        <w:rPr>
          <w:rtl w:val="0"/>
        </w:rPr>
      </w:r>
    </w:p>
    <w:p w:rsidR="00000000" w:rsidDel="00000000" w:rsidP="00000000" w:rsidRDefault="00000000" w:rsidRPr="00000000" w14:paraId="000001F9">
      <w:pPr>
        <w:spacing w:after="240" w:before="240" w:line="480" w:lineRule="auto"/>
        <w:ind w:left="720" w:hanging="720"/>
        <w:rPr>
          <w:color w:val="1155cc"/>
          <w:u w:val="single"/>
        </w:rPr>
      </w:pPr>
      <w:r w:rsidDel="00000000" w:rsidR="00000000" w:rsidRPr="00000000">
        <w:rPr>
          <w:rtl w:val="0"/>
        </w:rPr>
        <w:t xml:space="preserve">Intergovernmental Science-Policy Platform on Biodiversity and Ecosystem Services (IPBES). (2019). </w:t>
      </w:r>
      <w:r w:rsidDel="00000000" w:rsidR="00000000" w:rsidRPr="00000000">
        <w:rPr>
          <w:i w:val="1"/>
          <w:iCs w:val="1"/>
          <w:rtl w:val="0"/>
        </w:rPr>
        <w:t xml:space="preserve">Global assessment report on biodiversity and ecosystem services</w:t>
      </w:r>
      <w:r w:rsidDel="00000000" w:rsidR="00000000" w:rsidRPr="00000000">
        <w:rPr>
          <w:rtl w:val="0"/>
        </w:rPr>
        <w:t xml:space="preserve">. IPBES Secretariat.</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https://doi.org/10.5281/zenodo.3831673</w:t>
        </w:r>
      </w:hyperlink>
      <w:r w:rsidDel="00000000" w:rsidR="00000000" w:rsidRPr="00000000">
        <w:rPr>
          <w:rtl w:val="0"/>
        </w:rPr>
      </w:r>
    </w:p>
    <w:p w:rsidR="00000000" w:rsidDel="00000000" w:rsidP="00000000" w:rsidRDefault="00000000" w:rsidRPr="00000000" w14:paraId="000001FA">
      <w:pPr>
        <w:spacing w:after="240" w:before="240" w:line="480" w:lineRule="auto"/>
        <w:ind w:left="720" w:hanging="720"/>
        <w:rPr>
          <w:color w:val="1155cc"/>
          <w:u w:val="single"/>
        </w:rPr>
      </w:pPr>
      <w:r w:rsidDel="00000000" w:rsidR="00000000" w:rsidRPr="00000000">
        <w:rPr>
          <w:rtl w:val="0"/>
        </w:rPr>
        <w:t xml:space="preserve">International Union for Conservation of Nature. (2024). </w:t>
      </w:r>
      <w:r w:rsidDel="00000000" w:rsidR="00000000" w:rsidRPr="00000000">
        <w:rPr>
          <w:i w:val="1"/>
          <w:iCs w:val="1"/>
          <w:rtl w:val="0"/>
        </w:rPr>
        <w:t xml:space="preserve">Prioritising the restoration, protection and sustainable management of global grasslands</w:t>
      </w:r>
      <w:r w:rsidDel="00000000" w:rsidR="00000000" w:rsidRPr="00000000">
        <w:rPr>
          <w:rtl w:val="0"/>
        </w:rPr>
        <w:t xml:space="preserve">. IUCN.</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https://iucn.org/sites/default/files/2024-10/gbf_grasslands-report_updated-final.pdf</w:t>
        </w:r>
      </w:hyperlink>
      <w:r w:rsidDel="00000000" w:rsidR="00000000" w:rsidRPr="00000000">
        <w:rPr>
          <w:rtl w:val="0"/>
        </w:rPr>
      </w:r>
    </w:p>
    <w:p w:rsidR="00000000" w:rsidDel="00000000" w:rsidP="00000000" w:rsidRDefault="00000000" w:rsidRPr="00000000" w14:paraId="000001FB">
      <w:pPr>
        <w:spacing w:after="240" w:before="240" w:line="480" w:lineRule="auto"/>
        <w:ind w:left="720" w:hanging="720"/>
        <w:rPr>
          <w:color w:val="1155cc"/>
          <w:u w:val="single"/>
        </w:rPr>
      </w:pPr>
      <w:r w:rsidDel="00000000" w:rsidR="00000000" w:rsidRPr="00000000">
        <w:rPr>
          <w:rtl w:val="0"/>
        </w:rPr>
        <w:t xml:space="preserve">Isbell, F., et al. (2023). Expert perspectives on global biodiversity loss and its drivers. </w:t>
      </w:r>
      <w:r w:rsidDel="00000000" w:rsidR="00000000" w:rsidRPr="00000000">
        <w:rPr>
          <w:i w:val="1"/>
          <w:iCs w:val="1"/>
          <w:rtl w:val="0"/>
        </w:rPr>
        <w:t xml:space="preserve">Frontiers in Ecology and the Environment</w:t>
      </w: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https://doi.org/10.1002/fee.2536</w:t>
        </w:r>
      </w:hyperlink>
      <w:r w:rsidDel="00000000" w:rsidR="00000000" w:rsidRPr="00000000">
        <w:rPr>
          <w:rtl w:val="0"/>
        </w:rPr>
      </w:r>
    </w:p>
    <w:p w:rsidR="00000000" w:rsidDel="00000000" w:rsidP="00000000" w:rsidRDefault="00000000" w:rsidRPr="00000000" w14:paraId="000001FC">
      <w:pPr>
        <w:spacing w:after="240" w:before="240" w:line="480" w:lineRule="auto"/>
        <w:ind w:left="720" w:hanging="720"/>
        <w:rPr>
          <w:color w:val="1155cc"/>
          <w:u w:val="single"/>
        </w:rPr>
      </w:pPr>
      <w:r w:rsidDel="00000000" w:rsidR="00000000" w:rsidRPr="00000000">
        <w:rPr>
          <w:rtl w:val="0"/>
        </w:rPr>
        <w:t xml:space="preserve">Jeschke, J. M., Lokatis, S., Bartram, I., &amp; Tockner, K. (2019). Knowledge in the dark: Scientific challenges and ways forward. </w:t>
      </w:r>
      <w:r w:rsidDel="00000000" w:rsidR="00000000" w:rsidRPr="00000000">
        <w:rPr>
          <w:i w:val="1"/>
          <w:iCs w:val="1"/>
          <w:rtl w:val="0"/>
        </w:rPr>
        <w:t xml:space="preserve">FACETS, 4</w:t>
      </w:r>
      <w:r w:rsidDel="00000000" w:rsidR="00000000" w:rsidRPr="00000000">
        <w:rPr>
          <w:rtl w:val="0"/>
        </w:rPr>
        <w:t xml:space="preserve">(1), 423–441.</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https://doi.org/10.1139/facets-2019-0007</w:t>
        </w:r>
      </w:hyperlink>
      <w:r w:rsidDel="00000000" w:rsidR="00000000" w:rsidRPr="00000000">
        <w:rPr>
          <w:rtl w:val="0"/>
        </w:rPr>
      </w:r>
    </w:p>
    <w:p w:rsidR="00000000" w:rsidDel="00000000" w:rsidP="00000000" w:rsidRDefault="00000000" w:rsidRPr="00000000" w14:paraId="000001FD">
      <w:pPr>
        <w:spacing w:after="240" w:before="240" w:line="480" w:lineRule="auto"/>
        <w:ind w:left="720" w:hanging="720"/>
        <w:rPr/>
      </w:pPr>
      <w:r w:rsidDel="00000000" w:rsidR="00000000" w:rsidRPr="00000000">
        <w:rPr>
          <w:rtl w:val="0"/>
        </w:rPr>
        <w:t xml:space="preserve">Kechagioglou, X., Vaira, L., Tomassino, P., Fiore, N., Basset, A., &amp; Rosati, I. (2021). EcoPortal: An environment for FAIR semantic resources in the ecological domain. In Proceedings of the Joint Ontology Workshops 2021 (JOWO 2021): 3rd International Workshop on Semantics for Biodiversity (S4BioDiv). CEUR Workshop Proceedings, Vol. 2969. </w:t>
      </w:r>
      <w:hyperlink r:id="rId61">
        <w:r w:rsidDel="00000000" w:rsidR="00000000" w:rsidRPr="00000000">
          <w:rPr>
            <w:color w:val="1155cc"/>
            <w:u w:val="single"/>
            <w:rtl w:val="0"/>
          </w:rPr>
          <w:t xml:space="preserve">https://ceur-ws.org/Vol-2969/paper6-s4biodiv.pdf</w:t>
        </w:r>
      </w:hyperlink>
      <w:r w:rsidDel="00000000" w:rsidR="00000000" w:rsidRPr="00000000">
        <w:rPr>
          <w:rtl w:val="0"/>
        </w:rPr>
      </w:r>
    </w:p>
    <w:p w:rsidR="00000000" w:rsidDel="00000000" w:rsidP="00000000" w:rsidRDefault="00000000" w:rsidRPr="00000000" w14:paraId="000001FE">
      <w:pPr>
        <w:spacing w:after="240" w:before="240" w:line="480" w:lineRule="auto"/>
        <w:ind w:left="720" w:hanging="720"/>
        <w:rPr>
          <w:color w:val="1155cc"/>
          <w:u w:val="single"/>
        </w:rPr>
      </w:pPr>
      <w:r w:rsidDel="00000000" w:rsidR="00000000" w:rsidRPr="00000000">
        <w:rPr>
          <w:rtl w:val="0"/>
        </w:rPr>
        <w:t xml:space="preserve">Koschützki, D., &amp; Schreiber, F. (2008). Centrality analysis methods for biological networks and their application to gene regulatory networks. </w:t>
      </w:r>
      <w:r w:rsidDel="00000000" w:rsidR="00000000" w:rsidRPr="00000000">
        <w:rPr>
          <w:i w:val="1"/>
          <w:iCs w:val="1"/>
          <w:rtl w:val="0"/>
        </w:rPr>
        <w:t xml:space="preserve">Gene Regulation and Systems Biology, 2</w:t>
      </w:r>
      <w:r w:rsidDel="00000000" w:rsidR="00000000" w:rsidRPr="00000000">
        <w:rPr>
          <w:rtl w:val="0"/>
        </w:rPr>
        <w:t xml:space="preserve">, 193–201.</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https://doi.org/10.4137/grsb.s702</w:t>
        </w:r>
      </w:hyperlink>
      <w:r w:rsidDel="00000000" w:rsidR="00000000" w:rsidRPr="00000000">
        <w:rPr>
          <w:rtl w:val="0"/>
        </w:rPr>
      </w:r>
    </w:p>
    <w:p w:rsidR="00000000" w:rsidDel="00000000" w:rsidP="00000000" w:rsidRDefault="00000000" w:rsidRPr="00000000" w14:paraId="000001FF">
      <w:pPr>
        <w:spacing w:after="240" w:before="240" w:line="480" w:lineRule="auto"/>
        <w:ind w:left="720" w:hanging="720"/>
        <w:rPr>
          <w:color w:val="1155cc"/>
          <w:u w:val="single"/>
        </w:rPr>
      </w:pPr>
      <w:r w:rsidDel="00000000" w:rsidR="00000000" w:rsidRPr="00000000">
        <w:rPr>
          <w:rtl w:val="0"/>
        </w:rPr>
        <w:t xml:space="preserve">Madin, J. S., Bowers, S., Schildhauer, M. P., &amp; Jones, M. B. (2008). Advancing ecological research with ontologies. </w:t>
      </w:r>
      <w:r w:rsidDel="00000000" w:rsidR="00000000" w:rsidRPr="00000000">
        <w:rPr>
          <w:i w:val="1"/>
          <w:iCs w:val="1"/>
          <w:rtl w:val="0"/>
        </w:rPr>
        <w:t xml:space="preserve">Trends in Ecology &amp; Evolution, 23</w:t>
      </w:r>
      <w:r w:rsidDel="00000000" w:rsidR="00000000" w:rsidRPr="00000000">
        <w:rPr>
          <w:rtl w:val="0"/>
        </w:rPr>
        <w:t xml:space="preserve">(3), 159–168.</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https://doi.org/10.1016/j.tree.2007.11.007</w:t>
        </w:r>
      </w:hyperlink>
      <w:r w:rsidDel="00000000" w:rsidR="00000000" w:rsidRPr="00000000">
        <w:rPr>
          <w:rtl w:val="0"/>
        </w:rPr>
      </w:r>
    </w:p>
    <w:p w:rsidR="00000000" w:rsidDel="00000000" w:rsidP="00000000" w:rsidRDefault="00000000" w:rsidRPr="00000000" w14:paraId="00000200">
      <w:pPr>
        <w:spacing w:after="240" w:before="240" w:line="480" w:lineRule="auto"/>
        <w:ind w:left="720" w:hanging="720"/>
        <w:rPr>
          <w:color w:val="1155cc"/>
          <w:u w:val="single"/>
        </w:rPr>
      </w:pPr>
      <w:r w:rsidDel="00000000" w:rsidR="00000000" w:rsidRPr="00000000">
        <w:rPr>
          <w:rtl w:val="0"/>
        </w:rPr>
        <w:t xml:space="preserve">McPhee, J., Borden, L., Bowles, J., &amp; Henry, H. A. L. (2015). Tallgrass prairie restoration: Implications of increased atmospheric nitrogen deposition when site preparation minimizes adventive grasses. </w:t>
      </w:r>
      <w:r w:rsidDel="00000000" w:rsidR="00000000" w:rsidRPr="00000000">
        <w:rPr>
          <w:i w:val="1"/>
          <w:iCs w:val="1"/>
          <w:rtl w:val="0"/>
        </w:rPr>
        <w:t xml:space="preserve">Restoration Ecology, 23</w:t>
      </w:r>
      <w:r w:rsidDel="00000000" w:rsidR="00000000" w:rsidRPr="00000000">
        <w:rPr>
          <w:rtl w:val="0"/>
        </w:rPr>
        <w:t xml:space="preserve">(1), 34–42.</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https://doi.org/10.1111/rec.12156</w:t>
        </w:r>
      </w:hyperlink>
      <w:r w:rsidDel="00000000" w:rsidR="00000000" w:rsidRPr="00000000">
        <w:rPr>
          <w:rtl w:val="0"/>
        </w:rPr>
      </w:r>
    </w:p>
    <w:p w:rsidR="00000000" w:rsidDel="00000000" w:rsidP="00000000" w:rsidRDefault="00000000" w:rsidRPr="00000000" w14:paraId="00000201">
      <w:pPr>
        <w:spacing w:after="240" w:before="240" w:line="480" w:lineRule="auto"/>
        <w:ind w:left="720" w:hanging="720"/>
        <w:rPr>
          <w:color w:val="1155cc"/>
          <w:u w:val="single"/>
        </w:rPr>
      </w:pPr>
      <w:r w:rsidDel="00000000" w:rsidR="00000000" w:rsidRPr="00000000">
        <w:rPr>
          <w:rtl w:val="0"/>
        </w:rPr>
        <w:t xml:space="preserve">Mitchell, A. M., Wellicome, T. I., Brodie, D., &amp; Cheng, K. M. (2011). Captive-reared burrowing owls show higher site-affinity, survival, and reproductive performance when reintroduced using a soft-release. </w:t>
      </w:r>
      <w:r w:rsidDel="00000000" w:rsidR="00000000" w:rsidRPr="00000000">
        <w:rPr>
          <w:i w:val="1"/>
          <w:iCs w:val="1"/>
          <w:rtl w:val="0"/>
        </w:rPr>
        <w:t xml:space="preserve">Biological Conservation, 144</w:t>
      </w:r>
      <w:r w:rsidDel="00000000" w:rsidR="00000000" w:rsidRPr="00000000">
        <w:rPr>
          <w:rtl w:val="0"/>
        </w:rPr>
        <w:t xml:space="preserve">(5), 1382–1391.</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https://doi.org/10.1016/j.biocon.2010.12.019</w:t>
        </w:r>
      </w:hyperlink>
      <w:r w:rsidDel="00000000" w:rsidR="00000000" w:rsidRPr="00000000">
        <w:rPr>
          <w:rtl w:val="0"/>
        </w:rPr>
      </w:r>
    </w:p>
    <w:p w:rsidR="00000000" w:rsidDel="00000000" w:rsidP="00000000" w:rsidRDefault="00000000" w:rsidRPr="00000000" w14:paraId="00000202">
      <w:pPr>
        <w:spacing w:after="240" w:before="240" w:line="480" w:lineRule="auto"/>
        <w:ind w:left="720" w:hanging="720"/>
        <w:rPr>
          <w:color w:val="1155cc"/>
          <w:u w:val="single"/>
        </w:rPr>
      </w:pPr>
      <w:r w:rsidDel="00000000" w:rsidR="00000000" w:rsidRPr="00000000">
        <w:rPr>
          <w:rtl w:val="0"/>
        </w:rPr>
        <w:t xml:space="preserve">Ognyanova, K. (2025). </w:t>
      </w:r>
      <w:r w:rsidDel="00000000" w:rsidR="00000000" w:rsidRPr="00000000">
        <w:rPr>
          <w:i w:val="1"/>
          <w:iCs w:val="1"/>
          <w:rtl w:val="0"/>
        </w:rPr>
        <w:t xml:space="preserve">Network visualization with R</w:t>
      </w: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https://kateto.net/network-visualization</w:t>
        </w:r>
      </w:hyperlink>
      <w:r w:rsidDel="00000000" w:rsidR="00000000" w:rsidRPr="00000000">
        <w:rPr>
          <w:rtl w:val="0"/>
        </w:rPr>
      </w:r>
    </w:p>
    <w:p w:rsidR="00000000" w:rsidDel="00000000" w:rsidP="00000000" w:rsidRDefault="00000000" w:rsidRPr="00000000" w14:paraId="00000203">
      <w:pPr>
        <w:spacing w:after="240" w:before="240" w:line="480" w:lineRule="auto"/>
        <w:ind w:left="720" w:hanging="720"/>
        <w:rPr>
          <w:color w:val="1155cc"/>
          <w:u w:val="single"/>
        </w:rPr>
      </w:pPr>
      <w:r w:rsidDel="00000000" w:rsidR="00000000" w:rsidRPr="00000000">
        <w:rPr>
          <w:rtl w:val="0"/>
        </w:rPr>
        <w:t xml:space="preserve">Onuferko, T. M., Skandalis, D. A., León Cordero, R., &amp; Richards, M. H. (2018). Rapid initial recovery and long-term persistence of a bee community in a former landfill. </w:t>
      </w:r>
      <w:r w:rsidDel="00000000" w:rsidR="00000000" w:rsidRPr="00000000">
        <w:rPr>
          <w:i w:val="1"/>
          <w:iCs w:val="1"/>
          <w:rtl w:val="0"/>
        </w:rPr>
        <w:t xml:space="preserve">Insect Conservation and Diversity, 11</w:t>
      </w:r>
      <w:r w:rsidDel="00000000" w:rsidR="00000000" w:rsidRPr="00000000">
        <w:rPr>
          <w:rtl w:val="0"/>
        </w:rPr>
        <w:t xml:space="preserve">(1), 88–99.</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https://doi.org/10.1111/icad.12261</w:t>
        </w:r>
      </w:hyperlink>
      <w:r w:rsidDel="00000000" w:rsidR="00000000" w:rsidRPr="00000000">
        <w:rPr>
          <w:rtl w:val="0"/>
        </w:rPr>
      </w:r>
    </w:p>
    <w:p w:rsidR="00000000" w:rsidDel="00000000" w:rsidP="00000000" w:rsidRDefault="00000000" w:rsidRPr="00000000" w14:paraId="00000204">
      <w:pPr>
        <w:spacing w:after="240" w:before="240" w:line="480" w:lineRule="auto"/>
        <w:ind w:left="720" w:hanging="720"/>
        <w:rPr>
          <w:color w:val="1155cc"/>
          <w:u w:val="single"/>
        </w:rPr>
      </w:pPr>
      <w:r w:rsidDel="00000000" w:rsidR="00000000" w:rsidRPr="00000000">
        <w:rPr>
          <w:rtl w:val="0"/>
        </w:rPr>
        <w:t xml:space="preserve">Otfinowski, R., Pinchbeck, H. G., &amp; Sinkins, P. A. (2017). Using cattle grazing to restore a rough fescue prairie invaded by Kentucky bluegrass. </w:t>
      </w:r>
      <w:r w:rsidDel="00000000" w:rsidR="00000000" w:rsidRPr="00000000">
        <w:rPr>
          <w:i w:val="1"/>
          <w:iCs w:val="1"/>
          <w:rtl w:val="0"/>
        </w:rPr>
        <w:t xml:space="preserve">Rangeland Ecology &amp; Management, 70</w:t>
      </w:r>
      <w:r w:rsidDel="00000000" w:rsidR="00000000" w:rsidRPr="00000000">
        <w:rPr>
          <w:rtl w:val="0"/>
        </w:rPr>
        <w:t xml:space="preserve">(3), 301–306.</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https://doi.org/10.1016/j.rama.2016.10.008</w:t>
        </w:r>
      </w:hyperlink>
      <w:r w:rsidDel="00000000" w:rsidR="00000000" w:rsidRPr="00000000">
        <w:rPr>
          <w:rtl w:val="0"/>
        </w:rPr>
      </w:r>
    </w:p>
    <w:p w:rsidR="00000000" w:rsidDel="00000000" w:rsidP="00000000" w:rsidRDefault="00000000" w:rsidRPr="00000000" w14:paraId="00000205">
      <w:pPr>
        <w:spacing w:after="240" w:before="240" w:line="480" w:lineRule="auto"/>
        <w:ind w:left="720" w:hanging="720"/>
        <w:rPr>
          <w:color w:val="1155cc"/>
          <w:u w:val="single"/>
        </w:rPr>
      </w:pPr>
      <w:r w:rsidDel="00000000" w:rsidR="00000000" w:rsidRPr="00000000">
        <w:rPr>
          <w:rtl w:val="0"/>
        </w:rPr>
        <w:t xml:space="preserve">Paez, A. (2017). Grey literature: An important resource in systematic reviews. </w:t>
      </w:r>
      <w:r w:rsidDel="00000000" w:rsidR="00000000" w:rsidRPr="00000000">
        <w:rPr>
          <w:i w:val="1"/>
          <w:iCs w:val="1"/>
          <w:rtl w:val="0"/>
        </w:rPr>
        <w:t xml:space="preserve">Journal of Evidence-Based Medicine, 10</w:t>
      </w:r>
      <w:r w:rsidDel="00000000" w:rsidR="00000000" w:rsidRPr="00000000">
        <w:rPr>
          <w:rtl w:val="0"/>
        </w:rPr>
        <w:t xml:space="preserve">(3), 233–240.</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https://doi.org/10.1111/jebm.12265</w:t>
        </w:r>
      </w:hyperlink>
      <w:r w:rsidDel="00000000" w:rsidR="00000000" w:rsidRPr="00000000">
        <w:rPr>
          <w:rtl w:val="0"/>
        </w:rPr>
      </w:r>
    </w:p>
    <w:p w:rsidR="00000000" w:rsidDel="00000000" w:rsidP="00000000" w:rsidRDefault="00000000" w:rsidRPr="00000000" w14:paraId="00000206">
      <w:pPr>
        <w:spacing w:after="240" w:before="240" w:line="480" w:lineRule="auto"/>
        <w:ind w:left="720" w:hanging="720"/>
        <w:rPr>
          <w:color w:val="1155cc"/>
          <w:u w:val="single"/>
        </w:rPr>
      </w:pPr>
      <w:r w:rsidDel="00000000" w:rsidR="00000000" w:rsidRPr="00000000">
        <w:rPr>
          <w:rtl w:val="0"/>
        </w:rPr>
        <w:t xml:space="preserve">Page, H. N., &amp; Bork, E. W. (2005). Effect of planting season, bunchgrass species, and neighbor control on the success of transplants for grassland restoration. </w:t>
      </w:r>
      <w:r w:rsidDel="00000000" w:rsidR="00000000" w:rsidRPr="00000000">
        <w:rPr>
          <w:i w:val="1"/>
          <w:iCs w:val="1"/>
          <w:rtl w:val="0"/>
        </w:rPr>
        <w:t xml:space="preserve">Restoration Ecology, 13</w:t>
      </w:r>
      <w:r w:rsidDel="00000000" w:rsidR="00000000" w:rsidRPr="00000000">
        <w:rPr>
          <w:rtl w:val="0"/>
        </w:rPr>
        <w:t xml:space="preserve">(4), 651–658.</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https://doi.org/10.1111/j.1526-100X.2005.00083.x</w:t>
        </w:r>
      </w:hyperlink>
      <w:r w:rsidDel="00000000" w:rsidR="00000000" w:rsidRPr="00000000">
        <w:rPr>
          <w:rtl w:val="0"/>
        </w:rPr>
      </w:r>
    </w:p>
    <w:p w:rsidR="00000000" w:rsidDel="00000000" w:rsidP="00000000" w:rsidRDefault="00000000" w:rsidRPr="00000000" w14:paraId="00000207">
      <w:pPr>
        <w:spacing w:after="240" w:before="240" w:line="480" w:lineRule="auto"/>
        <w:ind w:left="720" w:hanging="720"/>
        <w:rPr>
          <w:color w:val="1155cc"/>
          <w:u w:val="single"/>
        </w:rPr>
      </w:pPr>
      <w:r w:rsidDel="00000000" w:rsidR="00000000" w:rsidRPr="00000000">
        <w:rPr>
          <w:rtl w:val="0"/>
        </w:rPr>
        <w:t xml:space="preserve">Palmer, M. A., &amp; Stewart, G. A. (2020). Ecosystem restoration is risky… but we can change that. </w:t>
      </w:r>
      <w:r w:rsidDel="00000000" w:rsidR="00000000" w:rsidRPr="00000000">
        <w:rPr>
          <w:i w:val="1"/>
          <w:iCs w:val="1"/>
          <w:rtl w:val="0"/>
        </w:rPr>
        <w:t xml:space="preserve">One Earth, 3</w:t>
      </w:r>
      <w:r w:rsidDel="00000000" w:rsidR="00000000" w:rsidRPr="00000000">
        <w:rPr>
          <w:rtl w:val="0"/>
        </w:rPr>
        <w:t xml:space="preserve">(6), 661–664.</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https://doi.org/10.1016/j.oneear.2020.11.019</w:t>
        </w:r>
      </w:hyperlink>
      <w:r w:rsidDel="00000000" w:rsidR="00000000" w:rsidRPr="00000000">
        <w:rPr>
          <w:rtl w:val="0"/>
        </w:rPr>
      </w:r>
    </w:p>
    <w:p w:rsidR="00000000" w:rsidDel="00000000" w:rsidP="00000000" w:rsidRDefault="00000000" w:rsidRPr="00000000" w14:paraId="00000208">
      <w:pPr>
        <w:spacing w:after="240" w:before="240" w:line="480" w:lineRule="auto"/>
        <w:ind w:left="720" w:hanging="720"/>
        <w:rPr>
          <w:color w:val="1155cc"/>
          <w:u w:val="single"/>
        </w:rPr>
      </w:pPr>
      <w:r w:rsidDel="00000000" w:rsidR="00000000" w:rsidRPr="00000000">
        <w:rPr>
          <w:rtl w:val="0"/>
        </w:rPr>
        <w:t xml:space="preserve">Paterson, C., Cottenie, K., &amp; MacDougall, A. S. (2019). Restored native prairie supports abundant and species-rich native bee communities on conventional farms. </w:t>
      </w:r>
      <w:r w:rsidDel="00000000" w:rsidR="00000000" w:rsidRPr="00000000">
        <w:rPr>
          <w:i w:val="1"/>
          <w:iCs w:val="1"/>
          <w:rtl w:val="0"/>
        </w:rPr>
        <w:t xml:space="preserve">Restoration Ecology, 27</w:t>
      </w:r>
      <w:r w:rsidDel="00000000" w:rsidR="00000000" w:rsidRPr="00000000">
        <w:rPr>
          <w:rtl w:val="0"/>
        </w:rPr>
        <w:t xml:space="preserve">(6), 1291–1299.</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https://doi.org/10.1111/rec.12987</w:t>
        </w:r>
      </w:hyperlink>
      <w:r w:rsidDel="00000000" w:rsidR="00000000" w:rsidRPr="00000000">
        <w:rPr>
          <w:rtl w:val="0"/>
        </w:rPr>
      </w:r>
    </w:p>
    <w:p w:rsidR="00000000" w:rsidDel="00000000" w:rsidP="00000000" w:rsidRDefault="00000000" w:rsidRPr="00000000" w14:paraId="00000209">
      <w:pPr>
        <w:spacing w:after="240" w:before="240" w:line="480" w:lineRule="auto"/>
        <w:ind w:left="720" w:hanging="720"/>
        <w:rPr>
          <w:color w:val="1155cc"/>
          <w:u w:val="single"/>
        </w:rPr>
      </w:pPr>
      <w:r w:rsidDel="00000000" w:rsidR="00000000" w:rsidRPr="00000000">
        <w:rPr>
          <w:rtl w:val="0"/>
        </w:rPr>
        <w:t xml:space="preserve">Posit team. (2025). </w:t>
      </w:r>
      <w:r w:rsidDel="00000000" w:rsidR="00000000" w:rsidRPr="00000000">
        <w:rPr>
          <w:i w:val="1"/>
          <w:iCs w:val="1"/>
          <w:rtl w:val="0"/>
        </w:rPr>
        <w:t xml:space="preserve">RStudio: Integrated development environment for R</w:t>
      </w:r>
      <w:r w:rsidDel="00000000" w:rsidR="00000000" w:rsidRPr="00000000">
        <w:rPr>
          <w:rtl w:val="0"/>
        </w:rPr>
        <w:t xml:space="preserve">. Posit Software, PBC.</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http://www.posit.co/</w:t>
        </w:r>
      </w:hyperlink>
      <w:r w:rsidDel="00000000" w:rsidR="00000000" w:rsidRPr="00000000">
        <w:rPr>
          <w:rtl w:val="0"/>
        </w:rPr>
      </w:r>
    </w:p>
    <w:p w:rsidR="00000000" w:rsidDel="00000000" w:rsidP="00000000" w:rsidRDefault="00000000" w:rsidRPr="00000000" w14:paraId="0000020A">
      <w:pPr>
        <w:spacing w:after="240" w:before="240" w:line="480" w:lineRule="auto"/>
        <w:ind w:left="720" w:hanging="720"/>
        <w:rPr>
          <w:color w:val="1155cc"/>
          <w:u w:val="single"/>
        </w:rPr>
      </w:pPr>
      <w:r w:rsidDel="00000000" w:rsidR="00000000" w:rsidRPr="00000000">
        <w:rPr>
          <w:rtl w:val="0"/>
        </w:rPr>
        <w:t xml:space="preserve">Robertson, H., Han, B. A., Castellanos, A. A., Rosado, D., Stott, G., Zimmerman, R., Drake, J. M., &amp; Graeden, E. (2025). Understanding ecological systems using knowledge graphs: An application to highly pathogenic avian influenza. </w:t>
      </w:r>
      <w:r w:rsidDel="00000000" w:rsidR="00000000" w:rsidRPr="00000000">
        <w:rPr>
          <w:i w:val="1"/>
          <w:iCs w:val="1"/>
          <w:rtl w:val="0"/>
        </w:rPr>
        <w:t xml:space="preserve">Bioinformatics Advances, 5</w:t>
      </w:r>
      <w:r w:rsidDel="00000000" w:rsidR="00000000" w:rsidRPr="00000000">
        <w:rPr>
          <w:rtl w:val="0"/>
        </w:rPr>
        <w:t xml:space="preserve">(1), Article vbaf016.</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https://doi.org/10.1093/bioadv/vbaf016</w:t>
        </w:r>
      </w:hyperlink>
      <w:r w:rsidDel="00000000" w:rsidR="00000000" w:rsidRPr="00000000">
        <w:rPr>
          <w:rtl w:val="0"/>
        </w:rPr>
      </w:r>
    </w:p>
    <w:p w:rsidR="00000000" w:rsidDel="00000000" w:rsidP="00000000" w:rsidRDefault="00000000" w:rsidRPr="00000000" w14:paraId="0000020B">
      <w:pPr>
        <w:spacing w:after="240" w:before="240" w:line="480" w:lineRule="auto"/>
        <w:ind w:left="720" w:hanging="720"/>
        <w:rPr>
          <w:color w:val="1155cc"/>
          <w:u w:val="single"/>
        </w:rPr>
      </w:pPr>
      <w:r w:rsidDel="00000000" w:rsidR="00000000" w:rsidRPr="00000000">
        <w:rPr>
          <w:rtl w:val="0"/>
        </w:rPr>
        <w:t xml:space="preserve">Robinson, J. M., Hodgson, R., Krauss, S. L., Liddicoat, C., Weinstein, P., Cameron, R., &amp; Breed, M. F. (2023). Opportunities and challenges for microbiomics in ecosystem restoration. </w:t>
      </w:r>
      <w:r w:rsidDel="00000000" w:rsidR="00000000" w:rsidRPr="00000000">
        <w:rPr>
          <w:i w:val="1"/>
          <w:iCs w:val="1"/>
          <w:rtl w:val="0"/>
        </w:rPr>
        <w:t xml:space="preserve">Trends in Ecology &amp; Evolution, 38</w:t>
      </w:r>
      <w:r w:rsidDel="00000000" w:rsidR="00000000" w:rsidRPr="00000000">
        <w:rPr>
          <w:rtl w:val="0"/>
        </w:rPr>
        <w:t xml:space="preserve">(12), 1189–1202.</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https://doi.org/10.1016/j.tree.2023.07.009</w:t>
        </w:r>
      </w:hyperlink>
      <w:r w:rsidDel="00000000" w:rsidR="00000000" w:rsidRPr="00000000">
        <w:rPr>
          <w:rtl w:val="0"/>
        </w:rPr>
      </w:r>
    </w:p>
    <w:p w:rsidR="00000000" w:rsidDel="00000000" w:rsidP="00000000" w:rsidRDefault="00000000" w:rsidRPr="00000000" w14:paraId="0000020C">
      <w:pPr>
        <w:spacing w:after="240" w:before="240" w:line="480" w:lineRule="auto"/>
        <w:ind w:left="720" w:hanging="720"/>
        <w:rPr>
          <w:color w:val="1155cc"/>
          <w:u w:val="single"/>
        </w:rPr>
      </w:pPr>
      <w:r w:rsidDel="00000000" w:rsidR="00000000" w:rsidRPr="00000000">
        <w:rPr>
          <w:rtl w:val="0"/>
        </w:rPr>
        <w:t xml:space="preserve">Roy, M. C., Mollard, F. P. O., &amp; Foote, A. L. (2014). Do peat amendments to oil sands wet sediments affect </w:t>
      </w:r>
      <w:r w:rsidDel="00000000" w:rsidR="00000000" w:rsidRPr="00000000">
        <w:rPr>
          <w:i w:val="1"/>
          <w:iCs w:val="1"/>
          <w:rtl w:val="0"/>
        </w:rPr>
        <w:t xml:space="preserve">Carex aquatilis</w:t>
      </w:r>
      <w:r w:rsidDel="00000000" w:rsidR="00000000" w:rsidRPr="00000000">
        <w:rPr>
          <w:rtl w:val="0"/>
        </w:rPr>
        <w:t xml:space="preserve"> biomass for reclamation success? </w:t>
      </w:r>
      <w:r w:rsidDel="00000000" w:rsidR="00000000" w:rsidRPr="00000000">
        <w:rPr>
          <w:i w:val="1"/>
          <w:iCs w:val="1"/>
          <w:rtl w:val="0"/>
        </w:rPr>
        <w:t xml:space="preserve">Journal of Environmental Management, 139</w:t>
      </w:r>
      <w:r w:rsidDel="00000000" w:rsidR="00000000" w:rsidRPr="00000000">
        <w:rPr>
          <w:rtl w:val="0"/>
        </w:rPr>
        <w:t xml:space="preserve">, 154–163.</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https://doi.org/10.1016/j.jenvman.2014.03.003</w:t>
        </w:r>
      </w:hyperlink>
      <w:r w:rsidDel="00000000" w:rsidR="00000000" w:rsidRPr="00000000">
        <w:rPr>
          <w:rtl w:val="0"/>
        </w:rPr>
      </w:r>
    </w:p>
    <w:p w:rsidR="00000000" w:rsidDel="00000000" w:rsidP="00000000" w:rsidRDefault="00000000" w:rsidRPr="00000000" w14:paraId="0000020D">
      <w:pPr>
        <w:spacing w:after="240" w:before="240" w:line="480" w:lineRule="auto"/>
        <w:ind w:left="720" w:hanging="720"/>
        <w:rPr>
          <w:color w:val="1155cc"/>
          <w:u w:val="single"/>
        </w:rPr>
      </w:pPr>
      <w:r w:rsidDel="00000000" w:rsidR="00000000" w:rsidRPr="00000000">
        <w:rPr>
          <w:rtl w:val="0"/>
        </w:rPr>
        <w:t xml:space="preserve">Salatino, A., Aggarwal, T., Mannocci, A., Osborne, F., &amp; Motta, E. (2025). A survey of knowledge organization systems of research fields: Resources and challenges. </w:t>
      </w:r>
      <w:r w:rsidDel="00000000" w:rsidR="00000000" w:rsidRPr="00000000">
        <w:rPr>
          <w:i w:val="1"/>
          <w:iCs w:val="1"/>
          <w:rtl w:val="0"/>
        </w:rPr>
        <w:t xml:space="preserve">Quantitative Science Studies, 6</w:t>
      </w:r>
      <w:r w:rsidDel="00000000" w:rsidR="00000000" w:rsidRPr="00000000">
        <w:rPr>
          <w:rtl w:val="0"/>
        </w:rPr>
        <w:t xml:space="preserve">, 567–610.</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https://doi.org/10.1162/qss_a_00363</w:t>
        </w:r>
      </w:hyperlink>
      <w:r w:rsidDel="00000000" w:rsidR="00000000" w:rsidRPr="00000000">
        <w:rPr>
          <w:rtl w:val="0"/>
        </w:rPr>
      </w:r>
    </w:p>
    <w:p w:rsidR="00000000" w:rsidDel="00000000" w:rsidP="00000000" w:rsidRDefault="00000000" w:rsidRPr="00000000" w14:paraId="0000020E">
      <w:pPr>
        <w:spacing w:after="240" w:before="240" w:line="480" w:lineRule="auto"/>
        <w:ind w:left="720" w:hanging="720"/>
        <w:rPr>
          <w:color w:val="1155cc"/>
          <w:u w:val="single"/>
        </w:rPr>
      </w:pPr>
      <w:r w:rsidDel="00000000" w:rsidR="00000000" w:rsidRPr="00000000">
        <w:rPr>
          <w:rtl w:val="0"/>
        </w:rPr>
        <w:t xml:space="preserve">Schneider, S., Steeves, R., Newmaster, S., &amp; MacDougall, A. S. (2017). Selective plant foraging and the top-down suppression of native diversity in a restored prairie. </w:t>
      </w:r>
      <w:r w:rsidDel="00000000" w:rsidR="00000000" w:rsidRPr="00000000">
        <w:rPr>
          <w:i w:val="1"/>
          <w:iCs w:val="1"/>
          <w:rtl w:val="0"/>
        </w:rPr>
        <w:t xml:space="preserve">Journal of Applied Ecology, 54</w:t>
      </w:r>
      <w:r w:rsidDel="00000000" w:rsidR="00000000" w:rsidRPr="00000000">
        <w:rPr>
          <w:rtl w:val="0"/>
        </w:rPr>
        <w:t xml:space="preserve">(5), 1496–1504.</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https://doi.org/10.1111/1365-2664.12886</w:t>
        </w:r>
      </w:hyperlink>
      <w:r w:rsidDel="00000000" w:rsidR="00000000" w:rsidRPr="00000000">
        <w:rPr>
          <w:rtl w:val="0"/>
        </w:rPr>
      </w:r>
    </w:p>
    <w:p w:rsidR="00000000" w:rsidDel="00000000" w:rsidP="00000000" w:rsidRDefault="00000000" w:rsidRPr="00000000" w14:paraId="0000020F">
      <w:pPr>
        <w:spacing w:after="240" w:before="240" w:line="480" w:lineRule="auto"/>
        <w:ind w:left="720" w:hanging="720"/>
        <w:rPr>
          <w:color w:val="1155cc"/>
          <w:u w:val="single"/>
        </w:rPr>
      </w:pPr>
      <w:r w:rsidDel="00000000" w:rsidR="00000000" w:rsidRPr="00000000">
        <w:rPr>
          <w:rtl w:val="0"/>
        </w:rPr>
        <w:t xml:space="preserve">Schoch, C. L., Ciufo, S., Domrachev, M., Hotton, C. L., Kannan, S., Khovanskaya, R., Leipe, D., Mcveigh, R., O’Neill, K., Robbertse, B., Sharma, S., Soussov, V., Sullivan, J. P., Sun, L., Turner, S., &amp; Karsch-Mizrachi, I. (2020). NCBI Taxonomy: A comprehensive update on curation, resources and tools. </w:t>
      </w:r>
      <w:r w:rsidDel="00000000" w:rsidR="00000000" w:rsidRPr="00000000">
        <w:rPr>
          <w:i w:val="1"/>
          <w:iCs w:val="1"/>
          <w:rtl w:val="0"/>
        </w:rPr>
        <w:t xml:space="preserve">Database, 2020</w:t>
      </w:r>
      <w:r w:rsidDel="00000000" w:rsidR="00000000" w:rsidRPr="00000000">
        <w:rPr>
          <w:rtl w:val="0"/>
        </w:rPr>
        <w:t xml:space="preserve">, Article baaa062.</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https://doi.org/10.1093/database/baaa062</w:t>
        </w:r>
      </w:hyperlink>
      <w:r w:rsidDel="00000000" w:rsidR="00000000" w:rsidRPr="00000000">
        <w:rPr>
          <w:rtl w:val="0"/>
        </w:rPr>
      </w:r>
    </w:p>
    <w:p w:rsidR="00000000" w:rsidDel="00000000" w:rsidP="00000000" w:rsidRDefault="00000000" w:rsidRPr="00000000" w14:paraId="00000210">
      <w:pPr>
        <w:spacing w:after="240" w:before="240" w:line="480" w:lineRule="auto"/>
        <w:ind w:left="720" w:hanging="720"/>
        <w:rPr>
          <w:color w:val="1155cc"/>
          <w:u w:val="single"/>
        </w:rPr>
      </w:pPr>
      <w:r w:rsidDel="00000000" w:rsidR="00000000" w:rsidRPr="00000000">
        <w:rPr>
          <w:rtl w:val="0"/>
        </w:rPr>
        <w:t xml:space="preserve">Simler-Williamson, A. B., &amp; Germino, M. J. (2022). Statistical considerations of nonrandom treatment applications reveal region-wide benefits of widespread post-fire restoration action. </w:t>
      </w:r>
      <w:r w:rsidDel="00000000" w:rsidR="00000000" w:rsidRPr="00000000">
        <w:rPr>
          <w:i w:val="1"/>
          <w:iCs w:val="1"/>
          <w:rtl w:val="0"/>
        </w:rPr>
        <w:t xml:space="preserve">Nature Communications, 13</w:t>
      </w:r>
      <w:r w:rsidDel="00000000" w:rsidR="00000000" w:rsidRPr="00000000">
        <w:rPr>
          <w:rtl w:val="0"/>
        </w:rPr>
        <w:t xml:space="preserve">, Article 3472.</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https://doi.org/10.1038/s41467-022-31102-z</w:t>
        </w:r>
      </w:hyperlink>
      <w:r w:rsidDel="00000000" w:rsidR="00000000" w:rsidRPr="00000000">
        <w:rPr>
          <w:rtl w:val="0"/>
        </w:rPr>
      </w:r>
    </w:p>
    <w:p w:rsidR="00000000" w:rsidDel="00000000" w:rsidP="00000000" w:rsidRDefault="00000000" w:rsidRPr="00000000" w14:paraId="00000211">
      <w:pPr>
        <w:spacing w:after="240" w:before="240" w:line="480" w:lineRule="auto"/>
        <w:ind w:left="720" w:hanging="720"/>
        <w:rPr>
          <w:color w:val="1155cc"/>
          <w:u w:val="single"/>
        </w:rPr>
      </w:pPr>
      <w:r w:rsidDel="00000000" w:rsidR="00000000" w:rsidRPr="00000000">
        <w:rPr>
          <w:rtl w:val="0"/>
        </w:rPr>
        <w:t xml:space="preserve">Soergel, D. (2009). Digital libraries and knowledge organization. In S. R. Kruk &amp; B. McDaniel (Eds.), </w:t>
      </w:r>
      <w:r w:rsidDel="00000000" w:rsidR="00000000" w:rsidRPr="00000000">
        <w:rPr>
          <w:i w:val="1"/>
          <w:iCs w:val="1"/>
          <w:rtl w:val="0"/>
        </w:rPr>
        <w:t xml:space="preserve">Semantic digital libraries</w:t>
      </w:r>
      <w:r w:rsidDel="00000000" w:rsidR="00000000" w:rsidRPr="00000000">
        <w:rPr>
          <w:rtl w:val="0"/>
        </w:rPr>
        <w:t xml:space="preserve">. Springer.</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https://doi.org/10.1007/978-3-540-85434-0_2</w:t>
        </w:r>
      </w:hyperlink>
      <w:r w:rsidDel="00000000" w:rsidR="00000000" w:rsidRPr="00000000">
        <w:rPr>
          <w:rtl w:val="0"/>
        </w:rPr>
      </w:r>
    </w:p>
    <w:p w:rsidR="00000000" w:rsidDel="00000000" w:rsidP="00000000" w:rsidRDefault="00000000" w:rsidRPr="00000000" w14:paraId="00000212">
      <w:pPr>
        <w:spacing w:after="240" w:before="240" w:line="480" w:lineRule="auto"/>
        <w:ind w:left="720" w:hanging="720"/>
        <w:rPr>
          <w:color w:val="1155cc"/>
          <w:u w:val="single"/>
        </w:rPr>
      </w:pPr>
      <w:r w:rsidDel="00000000" w:rsidR="00000000" w:rsidRPr="00000000">
        <w:rPr>
          <w:rtl w:val="0"/>
        </w:rPr>
        <w:t xml:space="preserve">Stover, H. J., Naeth, M. A., &amp; Wilkinson, S. R. (2017). Glyphosate, steam and cutting for non-native plant control in Alberta fescue grassland restoration. </w:t>
      </w:r>
      <w:r w:rsidDel="00000000" w:rsidR="00000000" w:rsidRPr="00000000">
        <w:rPr>
          <w:i w:val="1"/>
          <w:iCs w:val="1"/>
          <w:rtl w:val="0"/>
        </w:rPr>
        <w:t xml:space="preserve">Applied Vegetation Science, 20</w:t>
      </w:r>
      <w:r w:rsidDel="00000000" w:rsidR="00000000" w:rsidRPr="00000000">
        <w:rPr>
          <w:rtl w:val="0"/>
        </w:rPr>
        <w:t xml:space="preserve">(4), 608–619.</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https://doi.org/10.1111/avsc.12316</w:t>
        </w:r>
      </w:hyperlink>
      <w:r w:rsidDel="00000000" w:rsidR="00000000" w:rsidRPr="00000000">
        <w:rPr>
          <w:rtl w:val="0"/>
        </w:rPr>
      </w:r>
    </w:p>
    <w:p w:rsidR="00000000" w:rsidDel="00000000" w:rsidP="00000000" w:rsidRDefault="00000000" w:rsidRPr="00000000" w14:paraId="00000213">
      <w:pPr>
        <w:spacing w:after="240" w:before="240" w:line="480" w:lineRule="auto"/>
        <w:ind w:left="720" w:hanging="720"/>
        <w:rPr>
          <w:color w:val="1155cc"/>
          <w:u w:val="single"/>
        </w:rPr>
      </w:pPr>
      <w:r w:rsidDel="00000000" w:rsidR="00000000" w:rsidRPr="00000000">
        <w:rPr>
          <w:rtl w:val="0"/>
        </w:rPr>
        <w:t xml:space="preserve">Trowbridge, C. C., Stanley, A., Kaye, T. N., Dunwiddie, P. W., &amp; Williams, J. L. (2017). Long-term effects of prairie restoration on plant community structure and native population dynamics. </w:t>
      </w:r>
      <w:r w:rsidDel="00000000" w:rsidR="00000000" w:rsidRPr="00000000">
        <w:rPr>
          <w:i w:val="1"/>
          <w:iCs w:val="1"/>
          <w:rtl w:val="0"/>
        </w:rPr>
        <w:t xml:space="preserve">Restoration Ecology, 25</w:t>
      </w:r>
      <w:r w:rsidDel="00000000" w:rsidR="00000000" w:rsidRPr="00000000">
        <w:rPr>
          <w:rtl w:val="0"/>
        </w:rPr>
        <w:t xml:space="preserve">(4), 559–568.</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https://doi.org/10.1111/rec.12468</w:t>
        </w:r>
      </w:hyperlink>
      <w:r w:rsidDel="00000000" w:rsidR="00000000" w:rsidRPr="00000000">
        <w:rPr>
          <w:rtl w:val="0"/>
        </w:rPr>
      </w:r>
    </w:p>
    <w:p w:rsidR="00000000" w:rsidDel="00000000" w:rsidP="00000000" w:rsidRDefault="00000000" w:rsidRPr="00000000" w14:paraId="00000214">
      <w:pPr>
        <w:spacing w:after="240" w:before="240" w:line="480" w:lineRule="auto"/>
        <w:ind w:left="720" w:hanging="720"/>
        <w:rPr>
          <w:color w:val="1155cc"/>
          <w:u w:val="single"/>
        </w:rPr>
      </w:pPr>
      <w:r w:rsidDel="00000000" w:rsidR="00000000" w:rsidRPr="00000000">
        <w:rPr>
          <w:rtl w:val="0"/>
        </w:rPr>
        <w:t xml:space="preserve">Wan, L., Liu, G., Fu, B., Hu, Y., &amp; Su, X. (2026). Assessing and improving global grassland restoration: Drivers, current effectiveness and future design. </w:t>
      </w:r>
      <w:r w:rsidDel="00000000" w:rsidR="00000000" w:rsidRPr="00000000">
        <w:rPr>
          <w:i w:val="1"/>
          <w:iCs w:val="1"/>
          <w:rtl w:val="0"/>
        </w:rPr>
        <w:t xml:space="preserve">Journal of Applied Ecology, 63</w:t>
      </w:r>
      <w:r w:rsidDel="00000000" w:rsidR="00000000" w:rsidRPr="00000000">
        <w:rPr>
          <w:rtl w:val="0"/>
        </w:rPr>
        <w:t xml:space="preserve">(1).</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https://doi.org/10.1111/1365-2664.70221</w:t>
        </w:r>
      </w:hyperlink>
      <w:r w:rsidDel="00000000" w:rsidR="00000000" w:rsidRPr="00000000">
        <w:rPr>
          <w:rtl w:val="0"/>
        </w:rPr>
      </w:r>
    </w:p>
    <w:p w:rsidR="00000000" w:rsidDel="00000000" w:rsidP="00000000" w:rsidRDefault="00000000" w:rsidRPr="00000000" w14:paraId="00000215">
      <w:pPr>
        <w:spacing w:after="240" w:before="240" w:line="480" w:lineRule="auto"/>
        <w:ind w:left="720" w:hanging="720"/>
        <w:rPr>
          <w:color w:val="1155cc"/>
          <w:u w:val="single"/>
        </w:rPr>
      </w:pPr>
      <w:r w:rsidDel="00000000" w:rsidR="00000000" w:rsidRPr="00000000">
        <w:rPr>
          <w:rtl w:val="0"/>
        </w:rPr>
        <w:t xml:space="preserve">Wickham, H. (2016). </w:t>
      </w:r>
      <w:r w:rsidDel="00000000" w:rsidR="00000000" w:rsidRPr="00000000">
        <w:rPr>
          <w:i w:val="1"/>
          <w:iCs w:val="1"/>
          <w:rtl w:val="0"/>
        </w:rPr>
        <w:t xml:space="preserve">ggplot2: Elegant graphics for data analysis</w:t>
      </w:r>
      <w:r w:rsidDel="00000000" w:rsidR="00000000" w:rsidRPr="00000000">
        <w:rPr>
          <w:rtl w:val="0"/>
        </w:rPr>
        <w:t xml:space="preserve">. Springer.</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https://doi.org/10.1007/978-3-319-24277-4</w:t>
        </w:r>
      </w:hyperlink>
      <w:r w:rsidDel="00000000" w:rsidR="00000000" w:rsidRPr="00000000">
        <w:rPr>
          <w:rtl w:val="0"/>
        </w:rPr>
      </w:r>
    </w:p>
    <w:p w:rsidR="00000000" w:rsidDel="00000000" w:rsidP="00000000" w:rsidRDefault="00000000" w:rsidRPr="00000000" w14:paraId="00000216">
      <w:pPr>
        <w:spacing w:after="240" w:before="240" w:line="480" w:lineRule="auto"/>
        <w:ind w:left="720" w:hanging="720"/>
        <w:rPr>
          <w:color w:val="1155cc"/>
          <w:u w:val="single"/>
        </w:rPr>
      </w:pPr>
      <w:r w:rsidDel="00000000" w:rsidR="00000000" w:rsidRPr="00000000">
        <w:rPr>
          <w:rtl w:val="0"/>
        </w:rPr>
        <w:t xml:space="preserve">Wickham, H. (2025). </w:t>
      </w:r>
      <w:r w:rsidDel="00000000" w:rsidR="00000000" w:rsidRPr="00000000">
        <w:rPr>
          <w:i w:val="1"/>
          <w:iCs w:val="1"/>
          <w:rtl w:val="0"/>
        </w:rPr>
        <w:t xml:space="preserve">stringr: Simple, consistent wrappers for common string operations</w:t>
      </w:r>
      <w:r w:rsidDel="00000000" w:rsidR="00000000" w:rsidRPr="00000000">
        <w:rPr>
          <w:rtl w:val="0"/>
        </w:rPr>
        <w:t xml:space="preserve"> (R package, version 1.6.0).</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https://stringr.tidyverse.org</w:t>
        </w:r>
      </w:hyperlink>
      <w:r w:rsidDel="00000000" w:rsidR="00000000" w:rsidRPr="00000000">
        <w:rPr>
          <w:rtl w:val="0"/>
        </w:rPr>
      </w:r>
    </w:p>
    <w:p w:rsidR="00000000" w:rsidDel="00000000" w:rsidP="00000000" w:rsidRDefault="00000000" w:rsidRPr="00000000" w14:paraId="00000217">
      <w:pPr>
        <w:spacing w:after="240" w:before="240" w:line="480" w:lineRule="auto"/>
        <w:ind w:left="720" w:hanging="720"/>
        <w:rPr>
          <w:color w:val="1155cc"/>
          <w:u w:val="single"/>
        </w:rPr>
      </w:pPr>
      <w:r w:rsidDel="00000000" w:rsidR="00000000" w:rsidRPr="00000000">
        <w:rPr>
          <w:rtl w:val="0"/>
        </w:rPr>
        <w:t xml:space="preserve">Wickham, H., Averick, M., Bryan, J., Chang, W., McGowan, L. D., François, R., Grolemund, G., Hayes, A., Henry, L., Hester, J., Kuhn, M., Pedersen, T. L., Miller, E., Bache, S. M., Müller, K., Ooms, J., Robinson, D., Seidel, D. P., Spinu, V., … Yutani, H. (2019). Welcome to the tidyverse. </w:t>
      </w:r>
      <w:r w:rsidDel="00000000" w:rsidR="00000000" w:rsidRPr="00000000">
        <w:rPr>
          <w:i w:val="1"/>
          <w:iCs w:val="1"/>
          <w:rtl w:val="0"/>
        </w:rPr>
        <w:t xml:space="preserve">Journal of Open Source Software, 4</w:t>
      </w:r>
      <w:r w:rsidDel="00000000" w:rsidR="00000000" w:rsidRPr="00000000">
        <w:rPr>
          <w:rtl w:val="0"/>
        </w:rPr>
        <w:t xml:space="preserve">(43), 1686.</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https://doi.org/10.21105/joss.01686</w:t>
        </w:r>
      </w:hyperlink>
      <w:r w:rsidDel="00000000" w:rsidR="00000000" w:rsidRPr="00000000">
        <w:rPr>
          <w:rtl w:val="0"/>
        </w:rPr>
      </w:r>
    </w:p>
    <w:p w:rsidR="00000000" w:rsidDel="00000000" w:rsidP="00000000" w:rsidRDefault="00000000" w:rsidRPr="00000000" w14:paraId="00000218">
      <w:pPr>
        <w:spacing w:after="240" w:before="240" w:line="480" w:lineRule="auto"/>
        <w:ind w:left="720" w:hanging="720"/>
        <w:rPr>
          <w:color w:val="1155cc"/>
          <w:u w:val="single"/>
        </w:rPr>
      </w:pPr>
      <w:r w:rsidDel="00000000" w:rsidR="00000000" w:rsidRPr="00000000">
        <w:rPr>
          <w:rtl w:val="0"/>
        </w:rPr>
        <w:t xml:space="preserve">Wickham, H., François, R., Henry, L., Müller, K., &amp; Vaughan, D. (2026). </w:t>
      </w:r>
      <w:r w:rsidDel="00000000" w:rsidR="00000000" w:rsidRPr="00000000">
        <w:rPr>
          <w:i w:val="1"/>
          <w:iCs w:val="1"/>
          <w:rtl w:val="0"/>
        </w:rPr>
        <w:t xml:space="preserve">dplyr: A grammar of data manipulation</w:t>
      </w:r>
      <w:r w:rsidDel="00000000" w:rsidR="00000000" w:rsidRPr="00000000">
        <w:rPr>
          <w:rtl w:val="0"/>
        </w:rPr>
        <w:t xml:space="preserve"> (R package, version 1.2.0.9000).</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https://github.com/tidyverse/dplyr</w:t>
        </w:r>
      </w:hyperlink>
      <w:r w:rsidDel="00000000" w:rsidR="00000000" w:rsidRPr="00000000">
        <w:rPr>
          <w:rtl w:val="0"/>
        </w:rPr>
      </w:r>
    </w:p>
    <w:p w:rsidR="00000000" w:rsidDel="00000000" w:rsidP="00000000" w:rsidRDefault="00000000" w:rsidRPr="00000000" w14:paraId="00000219">
      <w:pPr>
        <w:spacing w:after="240" w:before="240" w:line="480" w:lineRule="auto"/>
        <w:ind w:left="720" w:hanging="720"/>
        <w:rPr>
          <w:color w:val="1155cc"/>
          <w:u w:val="single"/>
        </w:rPr>
      </w:pPr>
      <w:r w:rsidDel="00000000" w:rsidR="00000000" w:rsidRPr="00000000">
        <w:rPr>
          <w:rtl w:val="0"/>
        </w:rPr>
        <w:t xml:space="preserve">Wilkinson, M., Dumontier, M., Aalbersberg, I., et al. (2016). The FAIR Guiding Principles for scientific data management and stewardship. </w:t>
      </w:r>
      <w:r w:rsidDel="00000000" w:rsidR="00000000" w:rsidRPr="00000000">
        <w:rPr>
          <w:i w:val="1"/>
          <w:iCs w:val="1"/>
          <w:rtl w:val="0"/>
        </w:rPr>
        <w:t xml:space="preserve">Scientific Data, 3</w:t>
      </w:r>
      <w:r w:rsidDel="00000000" w:rsidR="00000000" w:rsidRPr="00000000">
        <w:rPr>
          <w:rtl w:val="0"/>
        </w:rPr>
        <w:t xml:space="preserve">, Article 160018.</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https://doi.org/10.1038/sdata.2016.18</w:t>
        </w:r>
      </w:hyperlink>
      <w:r w:rsidDel="00000000" w:rsidR="00000000" w:rsidRPr="00000000">
        <w:rPr>
          <w:rtl w:val="0"/>
        </w:rPr>
      </w:r>
    </w:p>
    <w:p w:rsidR="00000000" w:rsidDel="00000000" w:rsidP="00000000" w:rsidRDefault="00000000" w:rsidRPr="00000000" w14:paraId="0000021A">
      <w:pPr>
        <w:spacing w:after="240" w:before="240" w:line="480" w:lineRule="auto"/>
        <w:ind w:left="720" w:hanging="720"/>
        <w:rPr>
          <w:color w:val="1155cc"/>
          <w:u w:val="single"/>
        </w:rPr>
      </w:pPr>
      <w:r w:rsidDel="00000000" w:rsidR="00000000" w:rsidRPr="00000000">
        <w:rPr>
          <w:rtl w:val="0"/>
        </w:rPr>
        <w:t xml:space="preserve">Wilson, S. D., Bakker, J. D., Christian, J. M., Li, X., Ambrose, L. G. &amp; Waddington, J. (2004). Semiarid old-field restoration: Is neighbor control needed? </w:t>
      </w:r>
      <w:r w:rsidDel="00000000" w:rsidR="00000000" w:rsidRPr="00000000">
        <w:rPr>
          <w:i w:val="1"/>
          <w:iCs w:val="1"/>
          <w:rtl w:val="0"/>
        </w:rPr>
        <w:t xml:space="preserve">Ecological Applications, 14</w:t>
      </w:r>
      <w:r w:rsidDel="00000000" w:rsidR="00000000" w:rsidRPr="00000000">
        <w:rPr>
          <w:rtl w:val="0"/>
        </w:rPr>
        <w:t xml:space="preserve">(2), 476–484.</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https://doi.org/10.1890/02-5296</w:t>
        </w:r>
      </w:hyperlink>
      <w:r w:rsidDel="00000000" w:rsidR="00000000" w:rsidRPr="00000000">
        <w:rPr>
          <w:rtl w:val="0"/>
        </w:rPr>
      </w:r>
    </w:p>
    <w:p w:rsidR="00000000" w:rsidDel="00000000" w:rsidP="00000000" w:rsidRDefault="00000000" w:rsidRPr="00000000" w14:paraId="0000021B">
      <w:pPr>
        <w:spacing w:after="240" w:before="240" w:line="480" w:lineRule="auto"/>
        <w:ind w:left="720" w:hanging="720"/>
        <w:rPr>
          <w:color w:val="1155cc"/>
          <w:u w:val="single"/>
        </w:rPr>
      </w:pPr>
      <w:r w:rsidDel="00000000" w:rsidR="00000000" w:rsidRPr="00000000">
        <w:rPr>
          <w:rtl w:val="0"/>
        </w:rPr>
        <w:t xml:space="preserve">Woosaree, J., &amp; Otfinowski, R. (2018). Importance of species diversity in the revegetation of Alberta’s northern fescue prairies. </w:t>
      </w:r>
      <w:r w:rsidDel="00000000" w:rsidR="00000000" w:rsidRPr="00000000">
        <w:rPr>
          <w:i w:val="1"/>
          <w:iCs w:val="1"/>
          <w:rtl w:val="0"/>
        </w:rPr>
        <w:t xml:space="preserve">Biodiversity and Conservation, 27</w:t>
      </w:r>
      <w:r w:rsidDel="00000000" w:rsidR="00000000" w:rsidRPr="00000000">
        <w:rPr>
          <w:rtl w:val="0"/>
        </w:rPr>
        <w:t xml:space="preserve">, 665–680.</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https://doi.org/10.1007/s10531-017-1456-z</w:t>
        </w:r>
      </w:hyperlink>
      <w:r w:rsidDel="00000000" w:rsidR="00000000" w:rsidRPr="00000000">
        <w:rPr>
          <w:rtl w:val="0"/>
        </w:rPr>
      </w:r>
    </w:p>
    <w:p w:rsidR="00000000" w:rsidDel="00000000" w:rsidP="00000000" w:rsidRDefault="00000000" w:rsidRPr="00000000" w14:paraId="0000021C">
      <w:pPr>
        <w:spacing w:after="240" w:before="240" w:line="480" w:lineRule="auto"/>
        <w:ind w:left="720" w:hanging="720"/>
        <w:rPr>
          <w:color w:val="1155cc"/>
          <w:u w:val="single"/>
        </w:rPr>
      </w:pPr>
      <w:r w:rsidDel="00000000" w:rsidR="00000000" w:rsidRPr="00000000">
        <w:rPr>
          <w:rtl w:val="0"/>
        </w:rPr>
        <w:t xml:space="preserve">Yoshida, Y., Sitas, N., Mannetti, L., O’Farrell, P., Arroyo-Robles, G., Berbés-Blázquez, M., González-Jiménez, D., Nelson, V., Niamir, A., &amp; Harmáčková, Z. V. (2024). Beyond academia: A case for reviews of gray literature for science-policy processes and applied research. </w:t>
      </w:r>
      <w:r w:rsidDel="00000000" w:rsidR="00000000" w:rsidRPr="00000000">
        <w:rPr>
          <w:i w:val="1"/>
          <w:iCs w:val="1"/>
          <w:rtl w:val="0"/>
        </w:rPr>
        <w:t xml:space="preserve">Environmental Science &amp; Policy, 162</w:t>
      </w:r>
      <w:r w:rsidDel="00000000" w:rsidR="00000000" w:rsidRPr="00000000">
        <w:rPr>
          <w:rtl w:val="0"/>
        </w:rPr>
        <w:t xml:space="preserve">, Article 103882.</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https://doi.org/10.1016/j.envsci.2024.103882</w:t>
        </w:r>
      </w:hyperlink>
      <w:r w:rsidDel="00000000" w:rsidR="00000000" w:rsidRPr="00000000">
        <w:rPr>
          <w:rtl w:val="0"/>
        </w:rPr>
      </w:r>
    </w:p>
    <w:p w:rsidR="00000000" w:rsidDel="00000000" w:rsidP="00000000" w:rsidRDefault="00000000" w:rsidRPr="00000000" w14:paraId="0000021D">
      <w:pPr>
        <w:spacing w:after="240" w:before="240" w:line="480" w:lineRule="auto"/>
        <w:ind w:left="720" w:hanging="720"/>
        <w:rPr>
          <w:color w:val="1155cc"/>
          <w:u w:val="single"/>
        </w:rPr>
      </w:pPr>
      <w:r w:rsidDel="00000000" w:rsidR="00000000" w:rsidRPr="00000000">
        <w:rPr>
          <w:rtl w:val="0"/>
        </w:rPr>
        <w:t xml:space="preserve">Zeng, M. L. (2008). Knowledge organization systems (KOS). </w:t>
      </w:r>
      <w:r w:rsidDel="00000000" w:rsidR="00000000" w:rsidRPr="00000000">
        <w:rPr>
          <w:i w:val="1"/>
          <w:iCs w:val="1"/>
          <w:rtl w:val="0"/>
        </w:rPr>
        <w:t xml:space="preserve">Knowledge Organization, 35</w:t>
      </w:r>
      <w:r w:rsidDel="00000000" w:rsidR="00000000" w:rsidRPr="00000000">
        <w:rPr>
          <w:rtl w:val="0"/>
        </w:rPr>
        <w:t xml:space="preserve">(2–3), 160–182.</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https://doi.org/10.5771/0943-7444-2008-2-3-160</w:t>
        </w:r>
      </w:hyperlink>
      <w:r w:rsidDel="00000000" w:rsidR="00000000" w:rsidRPr="00000000">
        <w:rPr>
          <w:rtl w:val="0"/>
        </w:rPr>
      </w:r>
    </w:p>
    <w:p w:rsidR="00000000" w:rsidDel="00000000" w:rsidP="00000000" w:rsidRDefault="00000000" w:rsidRPr="00000000" w14:paraId="0000021E">
      <w:pPr>
        <w:spacing w:after="240" w:before="240" w:line="480" w:lineRule="auto"/>
        <w:jc w:val="center"/>
        <w:rPr>
          <w:b w:val="1"/>
          <w:bCs w:val="1"/>
        </w:rPr>
      </w:pPr>
      <w:r w:rsidDel="00000000" w:rsidR="00000000" w:rsidRPr="00000000">
        <w:rPr>
          <w:b w:val="1"/>
          <w:bCs w:val="1"/>
          <w:rtl w:val="0"/>
        </w:rPr>
        <w:t xml:space="preserve">Supplemental Information</w:t>
      </w:r>
    </w:p>
    <w:p w:rsidR="00000000" w:rsidDel="00000000" w:rsidP="00000000" w:rsidRDefault="00000000" w:rsidRPr="00000000" w14:paraId="0000021F">
      <w:pPr>
        <w:spacing w:after="240" w:before="240" w:line="480" w:lineRule="auto"/>
        <w:rPr/>
      </w:pPr>
      <w:r w:rsidDel="00000000" w:rsidR="00000000" w:rsidRPr="00000000">
        <w:rPr>
          <w:rtl w:val="0"/>
        </w:rPr>
        <w:t xml:space="preserve">Nodes and Edges dataset available at Zenodo: [</w:t>
      </w:r>
      <w:hyperlink r:id="rId126">
        <w:r w:rsidDel="00000000" w:rsidR="00000000" w:rsidRPr="00000000">
          <w:rPr>
            <w:color w:val="1155cc"/>
            <w:u w:val="single"/>
            <w:rtl w:val="0"/>
          </w:rPr>
          <w:t xml:space="preserve">https://doi.org/10.5281/zenodo.19501993</w:t>
        </w:r>
      </w:hyperlink>
      <w:r w:rsidDel="00000000" w:rsidR="00000000" w:rsidRPr="00000000">
        <w:rPr>
          <w:rtl w:val="0"/>
        </w:rPr>
        <w:t xml:space="preserve">]</w:t>
      </w:r>
    </w:p>
    <w:p w:rsidR="00000000" w:rsidDel="00000000" w:rsidP="00000000" w:rsidRDefault="00000000" w:rsidRPr="00000000" w14:paraId="00000220">
      <w:pPr>
        <w:spacing w:after="240" w:before="240" w:line="480" w:lineRule="auto"/>
        <w:rPr/>
      </w:pPr>
      <w:r w:rsidDel="00000000" w:rsidR="00000000" w:rsidRPr="00000000">
        <w:rPr>
          <w:rtl w:val="0"/>
        </w:rPr>
      </w:r>
    </w:p>
    <w:sectPr>
      <w:headerReference r:id="rId127" w:type="default"/>
      <w:footerReference r:id="rId1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jenvman.2012.11.001" TargetMode="External"/><Relationship Id="rId42" Type="http://schemas.openxmlformats.org/officeDocument/2006/relationships/hyperlink" Target="https://www.google.com/search?q=https://doi.org/10.3375/043.033.0111" TargetMode="External"/><Relationship Id="rId41" Type="http://schemas.openxmlformats.org/officeDocument/2006/relationships/hyperlink" Target="https://www.google.com/search?q=https://doi.org/10.3375/043.033.0111" TargetMode="External"/><Relationship Id="rId44" Type="http://schemas.openxmlformats.org/officeDocument/2006/relationships/hyperlink" Target="https://doi.org/10.1007/s10539-025-09981-5" TargetMode="External"/><Relationship Id="rId43" Type="http://schemas.openxmlformats.org/officeDocument/2006/relationships/hyperlink" Target="https://doi.org/10.1007/s10539-025-09981-5" TargetMode="External"/><Relationship Id="rId46" Type="http://schemas.openxmlformats.org/officeDocument/2006/relationships/hyperlink" Target="https://doi.org/10.1186/s13002-023-00606-3" TargetMode="External"/><Relationship Id="rId45" Type="http://schemas.openxmlformats.org/officeDocument/2006/relationships/hyperlink" Target="https://doi.org/10.1186/s13002-023-00606-3" TargetMode="External"/><Relationship Id="rId107" Type="http://schemas.openxmlformats.org/officeDocument/2006/relationships/hyperlink" Target="https://www.google.com/search?q=https://doi.org/10.1111/1365-2664.70221" TargetMode="External"/><Relationship Id="rId106" Type="http://schemas.openxmlformats.org/officeDocument/2006/relationships/hyperlink" Target="https://www.google.com/search?q=https://doi.org/10.1111/1365-2664.70221" TargetMode="External"/><Relationship Id="rId105" Type="http://schemas.openxmlformats.org/officeDocument/2006/relationships/hyperlink" Target="https://doi.org/10.1111/rec.12468" TargetMode="External"/><Relationship Id="rId104" Type="http://schemas.openxmlformats.org/officeDocument/2006/relationships/hyperlink" Target="https://doi.org/10.1111/rec.12468" TargetMode="External"/><Relationship Id="rId109" Type="http://schemas.openxmlformats.org/officeDocument/2006/relationships/hyperlink" Target="https://doi.org/10.1007/978-3-319-24277-4" TargetMode="External"/><Relationship Id="rId108" Type="http://schemas.openxmlformats.org/officeDocument/2006/relationships/hyperlink" Target="https://doi.org/10.1007/978-3-319-24277-4" TargetMode="External"/><Relationship Id="rId48" Type="http://schemas.openxmlformats.org/officeDocument/2006/relationships/hyperlink" Target="https://doi.org/10.1111/rec.13676" TargetMode="External"/><Relationship Id="rId47" Type="http://schemas.openxmlformats.org/officeDocument/2006/relationships/hyperlink" Target="https://doi.org/10.1111/rec.13676" TargetMode="External"/><Relationship Id="rId49" Type="http://schemas.openxmlformats.org/officeDocument/2006/relationships/hyperlink" Target="https://doi.org/10.1046/j.1526-100X.2003.00215.x" TargetMode="External"/><Relationship Id="rId103" Type="http://schemas.openxmlformats.org/officeDocument/2006/relationships/hyperlink" Target="https://doi.org/10.1111/avsc.12316" TargetMode="External"/><Relationship Id="rId102" Type="http://schemas.openxmlformats.org/officeDocument/2006/relationships/hyperlink" Target="https://doi.org/10.1111/avsc.12316" TargetMode="External"/><Relationship Id="rId101" Type="http://schemas.openxmlformats.org/officeDocument/2006/relationships/hyperlink" Target="https://doi.org/10.1007/978-3-540-85434-0_2" TargetMode="External"/><Relationship Id="rId100" Type="http://schemas.openxmlformats.org/officeDocument/2006/relationships/hyperlink" Target="https://doi.org/10.1007/978-3-540-85434-0_2" TargetMode="External"/><Relationship Id="rId31" Type="http://schemas.openxmlformats.org/officeDocument/2006/relationships/hyperlink" Target="https://doi.org/10.1002/ecs2.70194" TargetMode="External"/><Relationship Id="rId30" Type="http://schemas.openxmlformats.org/officeDocument/2006/relationships/hyperlink" Target="https://en.wikipedia.org/wiki/Centrality" TargetMode="External"/><Relationship Id="rId33" Type="http://schemas.openxmlformats.org/officeDocument/2006/relationships/hyperlink" Target="https://cran.r-project.org/package=ndtv" TargetMode="External"/><Relationship Id="rId32" Type="http://schemas.openxmlformats.org/officeDocument/2006/relationships/hyperlink" Target="https://doi.org/10.1002/ecs2.70194" TargetMode="External"/><Relationship Id="rId35" Type="http://schemas.openxmlformats.org/officeDocument/2006/relationships/hyperlink" Target="https://datahub.io/core/threatened-species" TargetMode="External"/><Relationship Id="rId34" Type="http://schemas.openxmlformats.org/officeDocument/2006/relationships/hyperlink" Target="https://cran.r-project.org/package=ndtv" TargetMode="External"/><Relationship Id="rId37" Type="http://schemas.openxmlformats.org/officeDocument/2006/relationships/hyperlink" Target="https://doi.org/10.1016/j.jenvman.2010.08.006" TargetMode="External"/><Relationship Id="rId36" Type="http://schemas.openxmlformats.org/officeDocument/2006/relationships/hyperlink" Target="https://datahub.io/core/threatened-species" TargetMode="External"/><Relationship Id="rId39" Type="http://schemas.openxmlformats.org/officeDocument/2006/relationships/hyperlink" Target="https://doi.org/10.1016/j.jenvman.2012.11.001" TargetMode="External"/><Relationship Id="rId38" Type="http://schemas.openxmlformats.org/officeDocument/2006/relationships/hyperlink" Target="https://doi.org/10.1016/j.jenvman.2010.08.006" TargetMode="External"/><Relationship Id="rId20" Type="http://schemas.openxmlformats.org/officeDocument/2006/relationships/hyperlink" Target="https://cran.r-project.org/package=network" TargetMode="External"/><Relationship Id="rId22" Type="http://schemas.openxmlformats.org/officeDocument/2006/relationships/hyperlink" Target="https://cran.r-project.org/package=sna" TargetMode="External"/><Relationship Id="rId21" Type="http://schemas.openxmlformats.org/officeDocument/2006/relationships/hyperlink" Target="https://cran.r-project.org/package=network" TargetMode="External"/><Relationship Id="rId24" Type="http://schemas.openxmlformats.org/officeDocument/2006/relationships/hyperlink" Target="https://doi.org/10.1016/j.envsci.2022.02.018" TargetMode="External"/><Relationship Id="rId23" Type="http://schemas.openxmlformats.org/officeDocument/2006/relationships/hyperlink" Target="https://cran.r-project.org/package=sna" TargetMode="External"/><Relationship Id="rId128" Type="http://schemas.openxmlformats.org/officeDocument/2006/relationships/footer" Target="footer1.xml"/><Relationship Id="rId127" Type="http://schemas.openxmlformats.org/officeDocument/2006/relationships/header" Target="header1.xml"/><Relationship Id="rId126" Type="http://schemas.openxmlformats.org/officeDocument/2006/relationships/hyperlink" Target="https://doi.org/10.5281/zenodo.19501993" TargetMode="External"/><Relationship Id="rId26" Type="http://schemas.openxmlformats.org/officeDocument/2006/relationships/hyperlink" Target="https://doi.org/10.1111/csp2.329" TargetMode="External"/><Relationship Id="rId121" Type="http://schemas.openxmlformats.org/officeDocument/2006/relationships/hyperlink" Target="https://doi.org/10.1007/s10531-017-1456-z" TargetMode="External"/><Relationship Id="rId25" Type="http://schemas.openxmlformats.org/officeDocument/2006/relationships/hyperlink" Target="https://doi.org/10.1016/j.envsci.2022.02.018" TargetMode="External"/><Relationship Id="rId120" Type="http://schemas.openxmlformats.org/officeDocument/2006/relationships/hyperlink" Target="https://doi.org/10.1007/s10531-017-1456-z" TargetMode="External"/><Relationship Id="rId28" Type="http://schemas.openxmlformats.org/officeDocument/2006/relationships/hyperlink" Target="https://doi.org/10.1007/s41109-025-00749-0" TargetMode="External"/><Relationship Id="rId27" Type="http://schemas.openxmlformats.org/officeDocument/2006/relationships/hyperlink" Target="https://doi.org/10.1111/csp2.329" TargetMode="External"/><Relationship Id="rId125" Type="http://schemas.openxmlformats.org/officeDocument/2006/relationships/hyperlink" Target="https://doi.org/10.5771/0943-7444-2008-2-3-160" TargetMode="External"/><Relationship Id="rId29" Type="http://schemas.openxmlformats.org/officeDocument/2006/relationships/hyperlink" Target="https://en.wikipedia.org/wiki/Centrality" TargetMode="External"/><Relationship Id="rId124" Type="http://schemas.openxmlformats.org/officeDocument/2006/relationships/hyperlink" Target="https://doi.org/10.5771/0943-7444-2008-2-3-160" TargetMode="External"/><Relationship Id="rId123" Type="http://schemas.openxmlformats.org/officeDocument/2006/relationships/hyperlink" Target="https://doi.org/10.1016/j.envsci.2024.103882" TargetMode="External"/><Relationship Id="rId122" Type="http://schemas.openxmlformats.org/officeDocument/2006/relationships/hyperlink" Target="https://doi.org/10.1016/j.envsci.2024.103882" TargetMode="External"/><Relationship Id="rId95" Type="http://schemas.openxmlformats.org/officeDocument/2006/relationships/hyperlink" Target="https://doi.org/10.1111/1365-2664.12886" TargetMode="External"/><Relationship Id="rId94" Type="http://schemas.openxmlformats.org/officeDocument/2006/relationships/hyperlink" Target="https://doi.org/10.1111/1365-2664.12886" TargetMode="External"/><Relationship Id="rId97" Type="http://schemas.openxmlformats.org/officeDocument/2006/relationships/hyperlink" Target="https://doi.org/10.1093/database/baaa062" TargetMode="External"/><Relationship Id="rId96" Type="http://schemas.openxmlformats.org/officeDocument/2006/relationships/hyperlink" Target="https://doi.org/10.1093/database/baaa062" TargetMode="External"/><Relationship Id="rId11" Type="http://schemas.openxmlformats.org/officeDocument/2006/relationships/hyperlink" Target="https://doi.org/10.1016/j.rama.2019.07.003" TargetMode="External"/><Relationship Id="rId99" Type="http://schemas.openxmlformats.org/officeDocument/2006/relationships/hyperlink" Target="https://doi.org/10.1038/s41467-022-31102-z" TargetMode="External"/><Relationship Id="rId10" Type="http://schemas.openxmlformats.org/officeDocument/2006/relationships/hyperlink" Target="https://doi.org/10.1016/j.rama.2019.07.003" TargetMode="External"/><Relationship Id="rId98" Type="http://schemas.openxmlformats.org/officeDocument/2006/relationships/hyperlink" Target="https://doi.org/10.1038/s41467-022-31102-z" TargetMode="External"/><Relationship Id="rId13" Type="http://schemas.openxmlformats.org/officeDocument/2006/relationships/hyperlink" Target="https://doi.org/10.1890/1051-0761(2003)013" TargetMode="External"/><Relationship Id="rId12" Type="http://schemas.openxmlformats.org/officeDocument/2006/relationships/hyperlink" Target="https://doi.org/10.1890/1051-0761(2003)013" TargetMode="External"/><Relationship Id="rId91" Type="http://schemas.openxmlformats.org/officeDocument/2006/relationships/hyperlink" Target="https://doi.org/10.1016/j.jenvman.2014.03.003" TargetMode="External"/><Relationship Id="rId90" Type="http://schemas.openxmlformats.org/officeDocument/2006/relationships/hyperlink" Target="https://doi.org/10.1016/j.jenvman.2014.03.003" TargetMode="External"/><Relationship Id="rId93" Type="http://schemas.openxmlformats.org/officeDocument/2006/relationships/hyperlink" Target="https://doi.org/10.1162/qss_a_00363" TargetMode="External"/><Relationship Id="rId92" Type="http://schemas.openxmlformats.org/officeDocument/2006/relationships/hyperlink" Target="https://doi.org/10.1162/qss_a_00363" TargetMode="External"/><Relationship Id="rId118" Type="http://schemas.openxmlformats.org/officeDocument/2006/relationships/hyperlink" Target="https://doi.org/10.1890/02-5296" TargetMode="External"/><Relationship Id="rId117" Type="http://schemas.openxmlformats.org/officeDocument/2006/relationships/hyperlink" Target="https://doi.org/10.1038/sdata.2016.18" TargetMode="External"/><Relationship Id="rId116" Type="http://schemas.openxmlformats.org/officeDocument/2006/relationships/hyperlink" Target="https://doi.org/10.1038/sdata.2016.18" TargetMode="External"/><Relationship Id="rId115" Type="http://schemas.openxmlformats.org/officeDocument/2006/relationships/hyperlink" Target="https://github.com/tidyverse/dplyr" TargetMode="External"/><Relationship Id="rId119" Type="http://schemas.openxmlformats.org/officeDocument/2006/relationships/hyperlink" Target="https://doi.org/10.1890/02-5296" TargetMode="External"/><Relationship Id="rId15" Type="http://schemas.openxmlformats.org/officeDocument/2006/relationships/hyperlink" Target="https://doi.org/10.1002/ecs2.2582" TargetMode="External"/><Relationship Id="rId110" Type="http://schemas.openxmlformats.org/officeDocument/2006/relationships/hyperlink" Target="https://stringr.tidyverse.org" TargetMode="External"/><Relationship Id="rId14" Type="http://schemas.openxmlformats.org/officeDocument/2006/relationships/hyperlink" Target="https://doi.org/10.1002/ecs2.2582" TargetMode="External"/><Relationship Id="rId17" Type="http://schemas.openxmlformats.org/officeDocument/2006/relationships/hyperlink" Target="https://www.fs.usda.gov/rm/pubs_other/rmrs_2001_block_w001.pdf" TargetMode="External"/><Relationship Id="rId16" Type="http://schemas.openxmlformats.org/officeDocument/2006/relationships/hyperlink" Target="https://www.fs.usda.gov/rm/pubs_other/rmrs_2001_block_w001.pdf" TargetMode="External"/><Relationship Id="rId19" Type="http://schemas.openxmlformats.org/officeDocument/2006/relationships/hyperlink" Target="https://cran.r-project.org/package=intergraph" TargetMode="External"/><Relationship Id="rId114" Type="http://schemas.openxmlformats.org/officeDocument/2006/relationships/hyperlink" Target="https://github.com/tidyverse/dplyr" TargetMode="External"/><Relationship Id="rId18" Type="http://schemas.openxmlformats.org/officeDocument/2006/relationships/hyperlink" Target="https://cran.r-project.org/package=intergraph" TargetMode="External"/><Relationship Id="rId113" Type="http://schemas.openxmlformats.org/officeDocument/2006/relationships/hyperlink" Target="https://doi.org/10.21105/joss.01686" TargetMode="External"/><Relationship Id="rId112" Type="http://schemas.openxmlformats.org/officeDocument/2006/relationships/hyperlink" Target="https://doi.org/10.21105/joss.01686" TargetMode="External"/><Relationship Id="rId111" Type="http://schemas.openxmlformats.org/officeDocument/2006/relationships/hyperlink" Target="https://stringr.tidyverse.org" TargetMode="External"/><Relationship Id="rId84" Type="http://schemas.openxmlformats.org/officeDocument/2006/relationships/hyperlink" Target="http://www.posit.co/" TargetMode="External"/><Relationship Id="rId83" Type="http://schemas.openxmlformats.org/officeDocument/2006/relationships/hyperlink" Target="https://doi.org/10.1111/rec.12987" TargetMode="External"/><Relationship Id="rId86" Type="http://schemas.openxmlformats.org/officeDocument/2006/relationships/hyperlink" Target="https://doi.org/10.1093/bioadv/vbaf016" TargetMode="External"/><Relationship Id="rId85" Type="http://schemas.openxmlformats.org/officeDocument/2006/relationships/hyperlink" Target="http://www.posit.co/" TargetMode="External"/><Relationship Id="rId88" Type="http://schemas.openxmlformats.org/officeDocument/2006/relationships/hyperlink" Target="https://doi.org/10.1016/j.tree.2023.07.009" TargetMode="External"/><Relationship Id="rId87" Type="http://schemas.openxmlformats.org/officeDocument/2006/relationships/hyperlink" Target="https://doi.org/10.1093/bioadv/vbaf016" TargetMode="External"/><Relationship Id="rId89" Type="http://schemas.openxmlformats.org/officeDocument/2006/relationships/hyperlink" Target="https://doi.org/10.1016/j.tree.2023.07.009" TargetMode="External"/><Relationship Id="rId80" Type="http://schemas.openxmlformats.org/officeDocument/2006/relationships/hyperlink" Target="https://doi.org/10.1016/j.oneear.2020.11.019" TargetMode="External"/><Relationship Id="rId82" Type="http://schemas.openxmlformats.org/officeDocument/2006/relationships/hyperlink" Target="https://doi.org/10.1111/rec.12987" TargetMode="External"/><Relationship Id="rId81" Type="http://schemas.openxmlformats.org/officeDocument/2006/relationships/hyperlink" Target="https://doi.org/10.1016/j.oneear.2020.11.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978-3-032-06136-2_33" TargetMode="External"/><Relationship Id="rId5" Type="http://schemas.openxmlformats.org/officeDocument/2006/relationships/styles" Target="styles.xml"/><Relationship Id="rId6" Type="http://schemas.openxmlformats.org/officeDocument/2006/relationships/hyperlink" Target="https://doi.org/10.1139/facets-2022-0157" TargetMode="External"/><Relationship Id="rId7" Type="http://schemas.openxmlformats.org/officeDocument/2006/relationships/hyperlink" Target="https://doi.org/10.1139/facets-2022-0157" TargetMode="External"/><Relationship Id="rId8" Type="http://schemas.openxmlformats.org/officeDocument/2006/relationships/hyperlink" Target="https://doi.org/10.1007/978-3-032-06136-2_33" TargetMode="External"/><Relationship Id="rId73" Type="http://schemas.openxmlformats.org/officeDocument/2006/relationships/hyperlink" Target="https://doi.org/10.1111/icad.12261" TargetMode="External"/><Relationship Id="rId72" Type="http://schemas.openxmlformats.org/officeDocument/2006/relationships/hyperlink" Target="https://doi.org/10.1111/icad.12261" TargetMode="External"/><Relationship Id="rId75" Type="http://schemas.openxmlformats.org/officeDocument/2006/relationships/hyperlink" Target="https://doi.org/10.1016/j.rama.2016.10.008" TargetMode="External"/><Relationship Id="rId74" Type="http://schemas.openxmlformats.org/officeDocument/2006/relationships/hyperlink" Target="https://doi.org/10.1016/j.rama.2016.10.008" TargetMode="External"/><Relationship Id="rId77" Type="http://schemas.openxmlformats.org/officeDocument/2006/relationships/hyperlink" Target="https://doi.org/10.1111/jebm.12265" TargetMode="External"/><Relationship Id="rId76" Type="http://schemas.openxmlformats.org/officeDocument/2006/relationships/hyperlink" Target="https://doi.org/10.1111/jebm.12265" TargetMode="External"/><Relationship Id="rId79" Type="http://schemas.openxmlformats.org/officeDocument/2006/relationships/hyperlink" Target="https://doi.org/10.1111/j.1526-100X.2005.00083.x" TargetMode="External"/><Relationship Id="rId78" Type="http://schemas.openxmlformats.org/officeDocument/2006/relationships/hyperlink" Target="https://doi.org/10.1111/j.1526-100X.2005.00083.x" TargetMode="External"/><Relationship Id="rId71" Type="http://schemas.openxmlformats.org/officeDocument/2006/relationships/hyperlink" Target="https://kateto.net/network-visualization" TargetMode="External"/><Relationship Id="rId70" Type="http://schemas.openxmlformats.org/officeDocument/2006/relationships/hyperlink" Target="https://kateto.net/network-visualization" TargetMode="External"/><Relationship Id="rId62" Type="http://schemas.openxmlformats.org/officeDocument/2006/relationships/hyperlink" Target="https://doi.org/10.4137/grsb.s702" TargetMode="External"/><Relationship Id="rId61" Type="http://schemas.openxmlformats.org/officeDocument/2006/relationships/hyperlink" Target="https://ceur-ws.org/Vol-2969/paper6-s4biodiv.pdf" TargetMode="External"/><Relationship Id="rId64" Type="http://schemas.openxmlformats.org/officeDocument/2006/relationships/hyperlink" Target="https://doi.org/10.1016/j.tree.2007.11.007" TargetMode="External"/><Relationship Id="rId63" Type="http://schemas.openxmlformats.org/officeDocument/2006/relationships/hyperlink" Target="https://doi.org/10.4137/grsb.s702" TargetMode="External"/><Relationship Id="rId66" Type="http://schemas.openxmlformats.org/officeDocument/2006/relationships/hyperlink" Target="https://doi.org/10.1111/rec.12156" TargetMode="External"/><Relationship Id="rId65" Type="http://schemas.openxmlformats.org/officeDocument/2006/relationships/hyperlink" Target="https://doi.org/10.1016/j.tree.2007.11.007" TargetMode="External"/><Relationship Id="rId68" Type="http://schemas.openxmlformats.org/officeDocument/2006/relationships/hyperlink" Target="https://doi.org/10.1016/j.biocon.2010.12.019" TargetMode="External"/><Relationship Id="rId67" Type="http://schemas.openxmlformats.org/officeDocument/2006/relationships/hyperlink" Target="https://doi.org/10.1111/rec.12156" TargetMode="External"/><Relationship Id="rId60" Type="http://schemas.openxmlformats.org/officeDocument/2006/relationships/hyperlink" Target="https://doi.org/10.1139/facets-2019-0007" TargetMode="External"/><Relationship Id="rId69" Type="http://schemas.openxmlformats.org/officeDocument/2006/relationships/hyperlink" Target="https://doi.org/10.1016/j.biocon.2010.12.019" TargetMode="External"/><Relationship Id="rId51" Type="http://schemas.openxmlformats.org/officeDocument/2006/relationships/hyperlink" Target="https://bookdown.org/jdholster1/idsr/" TargetMode="External"/><Relationship Id="rId50" Type="http://schemas.openxmlformats.org/officeDocument/2006/relationships/hyperlink" Target="https://doi.org/10.1046/j.1526-100X.2003.00215.x" TargetMode="External"/><Relationship Id="rId53" Type="http://schemas.openxmlformats.org/officeDocument/2006/relationships/hyperlink" Target="https://doi.org/10.5281/zenodo.3831673" TargetMode="External"/><Relationship Id="rId52" Type="http://schemas.openxmlformats.org/officeDocument/2006/relationships/hyperlink" Target="https://bookdown.org/jdholster1/idsr/" TargetMode="External"/><Relationship Id="rId55" Type="http://schemas.openxmlformats.org/officeDocument/2006/relationships/hyperlink" Target="https://iucn.org/sites/default/files/2024-10/gbf_grasslands-report_updated-final.pdf" TargetMode="External"/><Relationship Id="rId54" Type="http://schemas.openxmlformats.org/officeDocument/2006/relationships/hyperlink" Target="https://doi.org/10.5281/zenodo.3831673" TargetMode="External"/><Relationship Id="rId57" Type="http://schemas.openxmlformats.org/officeDocument/2006/relationships/hyperlink" Target="https://doi.org/10.1002/fee.2536" TargetMode="External"/><Relationship Id="rId56" Type="http://schemas.openxmlformats.org/officeDocument/2006/relationships/hyperlink" Target="https://iucn.org/sites/default/files/2024-10/gbf_grasslands-report_updated-final.pdf" TargetMode="External"/><Relationship Id="rId59" Type="http://schemas.openxmlformats.org/officeDocument/2006/relationships/hyperlink" Target="https://doi.org/10.1139/facets-2019-0007" TargetMode="External"/><Relationship Id="rId58" Type="http://schemas.openxmlformats.org/officeDocument/2006/relationships/hyperlink" Target="https://doi.org/10.1002/fee.25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