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120"/>
        <w:jc w:val="left"/>
      </w:pPr>
      <w:r>
        <w:rPr>
          <w:rFonts w:ascii="Calibri" w:hAnsi="Calibri"/>
          <w:b/>
          <w:color w:val="1A1A2E"/>
          <w:sz w:val="56"/>
        </w:rPr>
        <w:t>KUAHENE</w:t>
      </w:r>
    </w:p>
    <w:p>
      <w:pPr>
        <w:spacing w:before="0" w:after="40"/>
      </w:pPr>
      <w:r>
        <w:rPr>
          <w:rFonts w:ascii="Calibri" w:hAnsi="Calibri"/>
          <w:b/>
          <w:color w:val="007A5E"/>
          <w:sz w:val="26"/>
        </w:rPr>
        <w:t>On-Premises AI Security Operations Appliance</w:t>
      </w:r>
    </w:p>
    <w:p>
      <w:pPr>
        <w:spacing w:after="40"/>
      </w:pPr>
      <w:r>
        <w:rPr>
          <w:rFonts w:ascii="Calibri" w:hAnsi="Calibri"/>
          <w:i/>
          <w:color w:val="666666"/>
          <w:sz w:val="18"/>
        </w:rPr>
        <w:t>by ComplyHI  |  complyhi.com  |  Honolulu, HI</w:t>
      </w:r>
    </w:p>
    <w:p>
      <w:pPr>
        <w:spacing w:before="0" w:after="80"/>
        <w:pBdr>
          <w:bottom w:val="single" w:sz="8" w:space="1" w:color="1A1A2E"/>
        </w:pBdr>
      </w:pPr>
    </w:p>
    <w:p>
      <w:pPr>
        <w:spacing w:before="200" w:after="80"/>
        <w:pBdr>
          <w:bottom w:val="single" w:sz="4" w:space="1" w:color="007A5E"/>
        </w:pBdr>
      </w:pPr>
      <w:r>
        <w:rPr>
          <w:rFonts w:ascii="Calibri" w:hAnsi="Calibri"/>
          <w:b/>
          <w:color w:val="007A5E"/>
          <w:sz w:val="18"/>
        </w:rPr>
        <w:t>THE PROBLEM</w:t>
      </w:r>
    </w:p>
    <w:p>
      <w:pPr>
        <w:spacing w:after="80"/>
      </w:pPr>
      <w:r>
        <w:rPr>
          <w:rFonts w:ascii="Calibri" w:hAnsi="Calibri"/>
          <w:b w:val="0"/>
          <w:color w:val="333333"/>
          <w:sz w:val="19"/>
        </w:rPr>
        <w:t>Defense contractors, healthcare providers, and critical infrastructure operators face a perfect storm: escalating cyber threats, strict compliance mandates (CMMC, NIST 800-171, HIPAA), and an acute shortage of trained security analysts. Current solutions force a painful tradeoff — send sensitive data to cloud-based AI platforms (violating data sovereignty requirements) or drown in manual alert triage and spreadsheet-driven compliance.</w:t>
      </w:r>
    </w:p>
    <w:p>
      <w:pPr>
        <w:spacing w:before="200" w:after="80"/>
        <w:pBdr>
          <w:bottom w:val="single" w:sz="4" w:space="1" w:color="007A5E"/>
        </w:pBdr>
      </w:pPr>
      <w:r>
        <w:rPr>
          <w:rFonts w:ascii="Calibri" w:hAnsi="Calibri"/>
          <w:b/>
          <w:color w:val="007A5E"/>
          <w:sz w:val="18"/>
        </w:rPr>
        <w:t>THE SOLUTION</w:t>
      </w:r>
    </w:p>
    <w:p>
      <w:pPr>
        <w:spacing w:after="80"/>
      </w:pPr>
      <w:r>
        <w:rPr>
          <w:rFonts w:ascii="Calibri" w:hAnsi="Calibri"/>
          <w:b w:val="0"/>
          <w:color w:val="333333"/>
          <w:sz w:val="19"/>
        </w:rPr>
        <w:t>Kuahene is a turnkey security appliance that runs entirely on-premises. It combines a full SIEM/XDR platform (Wazuh) with a locally-hosted AI engine (Ollama) and proprietary orchestration that automates alert triage, investigation, and compliance evidence generation — with zero data leaving the customer's network.</w:t>
      </w:r>
    </w:p>
    <w:p>
      <w:pPr>
        <w:spacing w:before="200" w:after="80"/>
        <w:pBdr>
          <w:bottom w:val="single" w:sz="4" w:space="1" w:color="007A5E"/>
        </w:pBdr>
      </w:pPr>
      <w:r>
        <w:rPr>
          <w:rFonts w:ascii="Calibri" w:hAnsi="Calibri"/>
          <w:b/>
          <w:color w:val="007A5E"/>
          <w:sz w:val="18"/>
        </w:rPr>
        <w:t>KEY CAPABILITIES</w:t>
      </w:r>
    </w:p>
    <w:tbl>
      <w:tblPr>
        <w:tblW w:type="auto" w:w="0"/>
        <w:jc w:val="center"/>
        <w:tblLayout w:type="autofit"/>
        <w:tblLook w:firstColumn="1" w:firstRow="1" w:lastColumn="0" w:lastRow="0" w:noHBand="0" w:noVBand="1" w:val="04A0"/>
      </w:tblPr>
      <w:tblGrid>
        <w:gridCol w:w="4986"/>
        <w:gridCol w:w="4986"/>
      </w:tblGrid>
      <w:tr>
        <w:tc>
          <w:tcPr>
            <w:tcW w:type="dxa" w:w="2592"/>
            <w:shd w:fill="F0F4F3"/>
            <w:tcBorders>
              <w:top w:val="nil"/>
              <w:left w:val="nil"/>
              <w:right w:val="nil"/>
              <w:bottom w:val="single" w:sz="2" w:space="0" w:color="DDDDDD"/>
            </w:tcBorders>
          </w:tcPr>
          <w:p>
            <w:pPr>
              <w:spacing w:before="60" w:after="60"/>
            </w:pPr>
            <w:r>
              <w:rPr>
                <w:rFonts w:ascii="Calibri" w:hAnsi="Calibri"/>
                <w:b/>
                <w:color w:val="1A1A2E"/>
                <w:sz w:val="18"/>
              </w:rPr>
              <w:t>AI-Powered Alert Triage</w:t>
            </w:r>
          </w:p>
        </w:tc>
        <w:tc>
          <w:tcPr>
            <w:tcW w:type="dxa" w:w="6768"/>
            <w:tcBorders>
              <w:top w:val="nil"/>
              <w:left w:val="nil"/>
              <w:right w:val="nil"/>
              <w:bottom w:val="single" w:sz="2" w:space="0" w:color="DDDDDD"/>
            </w:tcBorders>
          </w:tcPr>
          <w:p>
            <w:pPr>
              <w:spacing w:before="60" w:after="60"/>
            </w:pPr>
            <w:r>
              <w:rPr>
                <w:rFonts w:ascii="Calibri" w:hAnsi="Calibri"/>
                <w:color w:val="444444"/>
                <w:sz w:val="18"/>
              </w:rPr>
              <w:t>4-stage pipeline (filter, enrich, LLM triage, human disposition) reduces analyst alert fatigue by 80%+. AI advises; humans decide.</w:t>
            </w:r>
          </w:p>
        </w:tc>
      </w:tr>
      <w:tr>
        <w:tc>
          <w:tcPr>
            <w:tcW w:type="dxa" w:w="2592"/>
            <w:shd w:fill="F0F4F3"/>
            <w:tcBorders>
              <w:top w:val="nil"/>
              <w:left w:val="nil"/>
              <w:right w:val="nil"/>
              <w:bottom w:val="single" w:sz="2" w:space="0" w:color="DDDDDD"/>
            </w:tcBorders>
          </w:tcPr>
          <w:p>
            <w:pPr>
              <w:spacing w:before="60" w:after="60"/>
            </w:pPr>
            <w:r>
              <w:rPr>
                <w:rFonts w:ascii="Calibri" w:hAnsi="Calibri"/>
                <w:b/>
                <w:color w:val="1A1A2E"/>
                <w:sz w:val="18"/>
              </w:rPr>
              <w:t>Natural-Language Investigation</w:t>
            </w:r>
          </w:p>
        </w:tc>
        <w:tc>
          <w:tcPr>
            <w:tcW w:type="dxa" w:w="6768"/>
            <w:tcBorders>
              <w:top w:val="nil"/>
              <w:left w:val="nil"/>
              <w:right w:val="nil"/>
              <w:bottom w:val="single" w:sz="2" w:space="0" w:color="DDDDDD"/>
            </w:tcBorders>
          </w:tcPr>
          <w:p>
            <w:pPr>
              <w:spacing w:before="60" w:after="60"/>
            </w:pPr>
            <w:r>
              <w:rPr>
                <w:rFonts w:ascii="Calibri" w:hAnsi="Calibri"/>
                <w:color w:val="444444"/>
                <w:sz w:val="18"/>
              </w:rPr>
              <w:t>Analysts ask questions in plain English — "Show me failed logins from external IPs this week" — and get instant, sourced answers.</w:t>
            </w:r>
          </w:p>
        </w:tc>
      </w:tr>
      <w:tr>
        <w:tc>
          <w:tcPr>
            <w:tcW w:type="dxa" w:w="2592"/>
            <w:shd w:fill="F0F4F3"/>
            <w:tcBorders>
              <w:top w:val="nil"/>
              <w:left w:val="nil"/>
              <w:right w:val="nil"/>
              <w:bottom w:val="single" w:sz="2" w:space="0" w:color="DDDDDD"/>
            </w:tcBorders>
          </w:tcPr>
          <w:p>
            <w:pPr>
              <w:spacing w:before="60" w:after="60"/>
            </w:pPr>
            <w:r>
              <w:rPr>
                <w:rFonts w:ascii="Calibri" w:hAnsi="Calibri"/>
                <w:b/>
                <w:color w:val="1A1A2E"/>
                <w:sz w:val="18"/>
              </w:rPr>
              <w:t>Automated Compliance Evidence</w:t>
            </w:r>
          </w:p>
        </w:tc>
        <w:tc>
          <w:tcPr>
            <w:tcW w:type="dxa" w:w="6768"/>
            <w:tcBorders>
              <w:top w:val="nil"/>
              <w:left w:val="nil"/>
              <w:right w:val="nil"/>
              <w:bottom w:val="single" w:sz="2" w:space="0" w:color="DDDDDD"/>
            </w:tcBorders>
          </w:tcPr>
          <w:p>
            <w:pPr>
              <w:spacing w:before="60" w:after="60"/>
            </w:pPr>
            <w:r>
              <w:rPr>
                <w:rFonts w:ascii="Calibri" w:hAnsi="Calibri"/>
                <w:color w:val="444444"/>
                <w:sz w:val="18"/>
              </w:rPr>
              <w:t>Every triage action auto-generates hash-chained, tamper-evident evidence mapped to NIST 800-171, CMMC L2, HIPAA, and CIS Controls.</w:t>
            </w:r>
          </w:p>
        </w:tc>
      </w:tr>
      <w:tr>
        <w:tc>
          <w:tcPr>
            <w:tcW w:type="dxa" w:w="2592"/>
            <w:shd w:fill="F0F4F3"/>
            <w:tcBorders>
              <w:top w:val="nil"/>
              <w:left w:val="nil"/>
              <w:right w:val="nil"/>
              <w:bottom w:val="single" w:sz="2" w:space="0" w:color="DDDDDD"/>
            </w:tcBorders>
          </w:tcPr>
          <w:p>
            <w:pPr>
              <w:spacing w:before="60" w:after="60"/>
            </w:pPr>
            <w:r>
              <w:rPr>
                <w:rFonts w:ascii="Calibri" w:hAnsi="Calibri"/>
                <w:b/>
                <w:color w:val="1A1A2E"/>
                <w:sz w:val="18"/>
              </w:rPr>
              <w:t>100% On-Premises AI</w:t>
            </w:r>
          </w:p>
        </w:tc>
        <w:tc>
          <w:tcPr>
            <w:tcW w:type="dxa" w:w="6768"/>
            <w:tcBorders>
              <w:top w:val="nil"/>
              <w:left w:val="nil"/>
              <w:right w:val="nil"/>
              <w:bottom w:val="single" w:sz="2" w:space="0" w:color="DDDDDD"/>
            </w:tcBorders>
          </w:tcPr>
          <w:p>
            <w:pPr>
              <w:spacing w:before="60" w:after="60"/>
            </w:pPr>
            <w:r>
              <w:rPr>
                <w:rFonts w:ascii="Calibri" w:hAnsi="Calibri"/>
                <w:color w:val="444444"/>
                <w:sz w:val="18"/>
              </w:rPr>
              <w:t>Local LLM inference via Ollama. No cloud fallback. No telemetry. Full data sovereignty from day one. Meets ITAR and CUI requirements.</w:t>
            </w:r>
          </w:p>
        </w:tc>
      </w:tr>
      <w:tr>
        <w:tc>
          <w:tcPr>
            <w:tcW w:type="dxa" w:w="2592"/>
            <w:shd w:fill="F0F4F3"/>
            <w:tcBorders>
              <w:top w:val="nil"/>
              <w:left w:val="nil"/>
              <w:right w:val="nil"/>
              <w:bottom w:val="single" w:sz="2" w:space="0" w:color="DDDDDD"/>
            </w:tcBorders>
          </w:tcPr>
          <w:p>
            <w:pPr>
              <w:spacing w:before="60" w:after="60"/>
            </w:pPr>
            <w:r>
              <w:rPr>
                <w:rFonts w:ascii="Calibri" w:hAnsi="Calibri"/>
                <w:b/>
                <w:color w:val="1A1A2E"/>
                <w:sz w:val="18"/>
              </w:rPr>
              <w:t>Plug-and-Play Deployment</w:t>
            </w:r>
          </w:p>
        </w:tc>
        <w:tc>
          <w:tcPr>
            <w:tcW w:type="dxa" w:w="6768"/>
            <w:tcBorders>
              <w:top w:val="nil"/>
              <w:left w:val="nil"/>
              <w:right w:val="nil"/>
              <w:bottom w:val="single" w:sz="2" w:space="0" w:color="DDDDDD"/>
            </w:tcBorders>
          </w:tcPr>
          <w:p>
            <w:pPr>
              <w:spacing w:before="60" w:after="60"/>
            </w:pPr>
            <w:r>
              <w:rPr>
                <w:rFonts w:ascii="Calibri" w:hAnsi="Calibri"/>
                <w:color w:val="444444"/>
                <w:sz w:val="18"/>
              </w:rPr>
              <w:t>Ships as a pre-configured appliance (hardware or virtual). Wizard-driven setup. SOC operational in under 4 hours, not weeks.</w:t>
            </w:r>
          </w:p>
        </w:tc>
      </w:tr>
      <w:tr>
        <w:tc>
          <w:tcPr>
            <w:tcW w:type="dxa" w:w="2592"/>
            <w:shd w:fill="F0F4F3"/>
            <w:tcBorders>
              <w:top w:val="nil"/>
              <w:left w:val="nil"/>
              <w:right w:val="nil"/>
              <w:bottom w:val="single" w:sz="2" w:space="0" w:color="DDDDDD"/>
            </w:tcBorders>
          </w:tcPr>
          <w:p>
            <w:pPr>
              <w:spacing w:before="60" w:after="60"/>
            </w:pPr>
            <w:r>
              <w:rPr>
                <w:rFonts w:ascii="Calibri" w:hAnsi="Calibri"/>
                <w:b/>
                <w:color w:val="1A1A2E"/>
                <w:sz w:val="18"/>
              </w:rPr>
              <w:t>Vulnerability Scanning</w:t>
            </w:r>
          </w:p>
        </w:tc>
        <w:tc>
          <w:tcPr>
            <w:tcW w:type="dxa" w:w="6768"/>
            <w:tcBorders>
              <w:top w:val="nil"/>
              <w:left w:val="nil"/>
              <w:right w:val="nil"/>
              <w:bottom w:val="single" w:sz="2" w:space="0" w:color="DDDDDD"/>
            </w:tcBorders>
          </w:tcPr>
          <w:p>
            <w:pPr>
              <w:spacing w:before="60" w:after="60"/>
            </w:pPr>
            <w:r>
              <w:rPr>
                <w:rFonts w:ascii="Calibri" w:hAnsi="Calibri"/>
                <w:color w:val="444444"/>
                <w:sz w:val="18"/>
              </w:rPr>
              <w:t>Built-in lightweight vulnerability detection integrated with the triage pipeline. No additional vendor licenses required.</w:t>
            </w:r>
          </w:p>
        </w:tc>
      </w:tr>
    </w:tbl>
    <w:p>
      <w:pPr>
        <w:spacing w:before="200" w:after="80"/>
        <w:pBdr>
          <w:bottom w:val="single" w:sz="4" w:space="1" w:color="007A5E"/>
        </w:pBdr>
      </w:pPr>
      <w:r>
        <w:rPr>
          <w:rFonts w:ascii="Calibri" w:hAnsi="Calibri"/>
          <w:b/>
          <w:color w:val="007A5E"/>
          <w:sz w:val="18"/>
        </w:rPr>
        <w:t>MARKET OPPORTUNITY</w:t>
      </w:r>
    </w:p>
    <w:p>
      <w:pPr>
        <w:spacing w:after="80"/>
      </w:pPr>
      <w:r>
        <w:rPr>
          <w:rFonts w:ascii="Calibri" w:hAnsi="Calibri"/>
          <w:b w:val="0"/>
          <w:color w:val="333333"/>
          <w:sz w:val="19"/>
        </w:rPr>
        <w:t>The global SIEM market is $6.4B (2025) growing at 14% CAGR. The AI-in-cybersecurity market reaches $38B by 2028. CMMC 2.0 enforcement (2025–2028) creates mandatory compliance demand for 80,000+ defense contractors, most of whom lack in-house SOC capability.</w:t>
      </w:r>
    </w:p>
    <w:p>
      <w:pPr>
        <w:spacing w:before="200" w:after="80"/>
        <w:pBdr>
          <w:bottom w:val="single" w:sz="4" w:space="1" w:color="007A5E"/>
        </w:pBdr>
      </w:pPr>
      <w:r>
        <w:rPr>
          <w:rFonts w:ascii="Calibri" w:hAnsi="Calibri"/>
          <w:b/>
          <w:color w:val="007A5E"/>
          <w:sz w:val="18"/>
        </w:rPr>
        <w:t>BUSINESS MODEL</w:t>
      </w:r>
    </w:p>
    <w:p>
      <w:pPr>
        <w:pStyle w:val="ListBullet"/>
        <w:spacing w:after="40" w:before="0"/>
      </w:pPr>
      <w:r>
        <w:rPr>
          <w:rFonts w:ascii="Calibri" w:hAnsi="Calibri"/>
          <w:b/>
          <w:color w:val="1A1A2E"/>
          <w:sz w:val="19"/>
        </w:rPr>
        <w:t xml:space="preserve">Hardware tiers: </w:t>
      </w:r>
      <w:r>
        <w:rPr>
          <w:rFonts w:ascii="Calibri" w:hAnsi="Calibri"/>
          <w:color w:val="444444"/>
          <w:sz w:val="19"/>
        </w:rPr>
        <w:t>Appliance + annual subscription (software updates, threat intelligence, model updates)</w:t>
      </w:r>
    </w:p>
    <w:p>
      <w:pPr>
        <w:pStyle w:val="ListBullet"/>
        <w:spacing w:after="40" w:before="0"/>
      </w:pPr>
      <w:r>
        <w:rPr>
          <w:rFonts w:ascii="Calibri" w:hAnsi="Calibri"/>
          <w:b/>
          <w:color w:val="1A1A2E"/>
          <w:sz w:val="19"/>
        </w:rPr>
        <w:t xml:space="preserve">Pricing: </w:t>
      </w:r>
      <w:r>
        <w:rPr>
          <w:rFonts w:ascii="Calibri" w:hAnsi="Calibri"/>
          <w:color w:val="444444"/>
          <w:sz w:val="19"/>
        </w:rPr>
        <w:t>Small ($X,XXX/yr) ≤ 25 endpoints  |  Medium ($XX,XXX/yr) ≤ 150 endpoints  |  Virtual (enterprise pricing)</w:t>
      </w:r>
    </w:p>
    <w:p>
      <w:pPr>
        <w:pStyle w:val="ListBullet"/>
        <w:spacing w:after="40" w:before="0"/>
      </w:pPr>
      <w:r>
        <w:rPr>
          <w:rFonts w:ascii="Calibri" w:hAnsi="Calibri"/>
          <w:b/>
          <w:color w:val="1A1A2E"/>
          <w:sz w:val="19"/>
        </w:rPr>
        <w:t xml:space="preserve">Margins: </w:t>
      </w:r>
      <w:r>
        <w:rPr>
          <w:rFonts w:ascii="Calibri" w:hAnsi="Calibri"/>
          <w:color w:val="444444"/>
          <w:sz w:val="19"/>
        </w:rPr>
        <w:t>85%+ gross margin on subscription revenue after initial hardware COGS</w:t>
      </w:r>
    </w:p>
    <w:p>
      <w:pPr>
        <w:pStyle w:val="ListBullet"/>
        <w:spacing w:after="40" w:before="0"/>
      </w:pPr>
      <w:r>
        <w:rPr>
          <w:rFonts w:ascii="Calibri" w:hAnsi="Calibri"/>
          <w:b/>
          <w:color w:val="1A1A2E"/>
          <w:sz w:val="19"/>
        </w:rPr>
        <w:t xml:space="preserve">Retention: </w:t>
      </w:r>
      <w:r>
        <w:rPr>
          <w:rFonts w:ascii="Calibri" w:hAnsi="Calibri"/>
          <w:color w:val="444444"/>
          <w:sz w:val="19"/>
        </w:rPr>
        <w:t>Compliance automation reduces customer audit prep from weeks to hours — strong retention driver</w:t>
      </w:r>
    </w:p>
    <w:p>
      <w:pPr>
        <w:spacing w:before="200" w:after="80"/>
        <w:pBdr>
          <w:bottom w:val="single" w:sz="4" w:space="1" w:color="007A5E"/>
        </w:pBdr>
      </w:pPr>
      <w:r>
        <w:rPr>
          <w:rFonts w:ascii="Calibri" w:hAnsi="Calibri"/>
          <w:b/>
          <w:color w:val="007A5E"/>
          <w:sz w:val="18"/>
        </w:rPr>
        <w:t>WHY KUAHENE WINS</w:t>
      </w:r>
    </w:p>
    <w:p>
      <w:pPr>
        <w:pStyle w:val="ListBullet"/>
        <w:spacing w:after="40" w:before="0"/>
      </w:pPr>
      <w:r>
        <w:rPr>
          <w:rFonts w:ascii="Calibri" w:hAnsi="Calibri"/>
          <w:b/>
          <w:color w:val="1A1A2E"/>
          <w:sz w:val="19"/>
        </w:rPr>
        <w:t xml:space="preserve">Data sovereignty: </w:t>
      </w:r>
      <w:r>
        <w:rPr>
          <w:rFonts w:ascii="Calibri" w:hAnsi="Calibri"/>
          <w:color w:val="444444"/>
          <w:sz w:val="19"/>
        </w:rPr>
        <w:t>No data leaves premises — a hard requirement for CMMC, ITAR, HIPAA, and CUI workloads that cloud SIEM cannot meet</w:t>
      </w:r>
    </w:p>
    <w:p>
      <w:pPr>
        <w:pStyle w:val="ListBullet"/>
        <w:spacing w:after="40" w:before="0"/>
      </w:pPr>
      <w:r>
        <w:rPr>
          <w:rFonts w:ascii="Calibri" w:hAnsi="Calibri"/>
          <w:b/>
          <w:color w:val="1A1A2E"/>
          <w:sz w:val="19"/>
        </w:rPr>
        <w:t xml:space="preserve">Evidence as byproduct: </w:t>
      </w:r>
      <w:r>
        <w:rPr>
          <w:rFonts w:ascii="Calibri" w:hAnsi="Calibri"/>
          <w:color w:val="444444"/>
          <w:sz w:val="19"/>
        </w:rPr>
        <w:t>Compliance evidence generated automatically as a byproduct of security operations, not a separate workflow</w:t>
      </w:r>
    </w:p>
    <w:p>
      <w:pPr>
        <w:pStyle w:val="ListBullet"/>
        <w:spacing w:after="40" w:before="0"/>
      </w:pPr>
      <w:r>
        <w:rPr>
          <w:rFonts w:ascii="Calibri" w:hAnsi="Calibri"/>
          <w:b/>
          <w:color w:val="1A1A2E"/>
          <w:sz w:val="19"/>
        </w:rPr>
        <w:t xml:space="preserve">Consolidation: </w:t>
      </w:r>
      <w:r>
        <w:rPr>
          <w:rFonts w:ascii="Calibri" w:hAnsi="Calibri"/>
          <w:color w:val="444444"/>
          <w:sz w:val="19"/>
        </w:rPr>
        <w:t>One appliance replaces SIEM + SOAR + GRC tool + vulnerability scanner — dramatic cost savings for SMBs</w:t>
      </w:r>
    </w:p>
    <w:p>
      <w:pPr>
        <w:pStyle w:val="ListBullet"/>
        <w:spacing w:after="40" w:before="0"/>
      </w:pPr>
      <w:r>
        <w:rPr>
          <w:rFonts w:ascii="Calibri" w:hAnsi="Calibri"/>
          <w:b/>
          <w:color w:val="1A1A2E"/>
          <w:sz w:val="19"/>
        </w:rPr>
        <w:t xml:space="preserve">Predictable cost: </w:t>
      </w:r>
      <w:r>
        <w:rPr>
          <w:rFonts w:ascii="Calibri" w:hAnsi="Calibri"/>
          <w:color w:val="444444"/>
          <w:sz w:val="19"/>
        </w:rPr>
        <w:t>No cloud dependencies, no per-query AI costs, no surprise egress fees</w:t>
      </w:r>
    </w:p>
    <w:p>
      <w:pPr>
        <w:spacing w:before="200" w:after="80"/>
        <w:pBdr>
          <w:bottom w:val="single" w:sz="4" w:space="1" w:color="007A5E"/>
        </w:pBdr>
      </w:pPr>
      <w:r>
        <w:rPr>
          <w:rFonts w:ascii="Calibri" w:hAnsi="Calibri"/>
          <w:b/>
          <w:color w:val="007A5E"/>
          <w:sz w:val="18"/>
        </w:rPr>
        <w:t>TRACTION &amp; ROADMAP</w:t>
      </w:r>
    </w:p>
    <w:p>
      <w:pPr>
        <w:pStyle w:val="ListBullet"/>
        <w:spacing w:after="40" w:before="0"/>
      </w:pPr>
      <w:r>
        <w:rPr>
          <w:rFonts w:ascii="Calibri" w:hAnsi="Calibri"/>
          <w:color w:val="444444"/>
          <w:sz w:val="19"/>
        </w:rPr>
        <w:t>Core platform built: triage pipeline, AI investigation, compliance engine, vulnerability scanning, web dashboard</w:t>
      </w:r>
    </w:p>
    <w:p>
      <w:pPr>
        <w:pStyle w:val="ListBullet"/>
        <w:spacing w:after="40" w:before="0"/>
      </w:pPr>
      <w:r>
        <w:rPr>
          <w:rFonts w:ascii="Calibri" w:hAnsi="Calibri"/>
          <w:color w:val="444444"/>
          <w:sz w:val="19"/>
        </w:rPr>
        <w:t>Docker-based deployment operational with GPU-accelerated local inference</w:t>
      </w:r>
    </w:p>
    <w:p>
      <w:pPr>
        <w:pStyle w:val="ListBullet"/>
        <w:spacing w:after="40" w:before="0"/>
      </w:pPr>
      <w:r>
        <w:rPr>
          <w:rFonts w:ascii="Calibri" w:hAnsi="Calibri"/>
          <w:color w:val="444444"/>
          <w:sz w:val="19"/>
        </w:rPr>
        <w:t>Target: pilot deployments with 3–5 defense contractors in Hawaii (Q4 2026)</w:t>
      </w:r>
    </w:p>
    <w:p>
      <w:pPr>
        <w:pStyle w:val="ListBullet"/>
        <w:spacing w:after="40" w:before="0"/>
      </w:pPr>
      <w:r>
        <w:rPr>
          <w:rFonts w:ascii="Calibri" w:hAnsi="Calibri"/>
          <w:color w:val="444444"/>
          <w:sz w:val="19"/>
        </w:rPr>
        <w:t>CMMC 2.0 enforcement timeline creates urgency — first-mover advantage in on-prem AI SOC</w:t>
      </w:r>
    </w:p>
    <w:p>
      <w:pPr>
        <w:spacing w:before="200" w:after="80"/>
        <w:pBdr>
          <w:bottom w:val="single" w:sz="4" w:space="1" w:color="007A5E"/>
        </w:pBdr>
      </w:pPr>
      <w:r>
        <w:rPr>
          <w:rFonts w:ascii="Calibri" w:hAnsi="Calibri"/>
          <w:b/>
          <w:color w:val="007A5E"/>
          <w:sz w:val="18"/>
        </w:rPr>
        <w:t>TEAM</w:t>
      </w:r>
    </w:p>
    <w:p>
      <w:pPr>
        <w:spacing w:after="80"/>
      </w:pPr>
      <w:r>
        <w:rPr>
          <w:rFonts w:ascii="Calibri" w:hAnsi="Calibri"/>
          <w:b w:val="0"/>
          <w:color w:val="333333"/>
          <w:sz w:val="19"/>
        </w:rPr>
        <w:t>ComplyHI is based in Honolulu, Hawaii, at the intersection of the Pacific defense community and the state's growing cybersecurity ecosystem. The team brings deep expertise in compliance frameworks, security operations, and AI/ML engineering.</w:t>
      </w:r>
    </w:p>
    <w:p>
      <w:pPr>
        <w:spacing w:before="240"/>
        <w:jc w:val="center"/>
        <w:pBdr>
          <w:top w:val="single" w:sz="4" w:space="4" w:color="1A1A2E"/>
        </w:pBdr>
      </w:pPr>
      <w:r>
        <w:rPr>
          <w:rFonts w:ascii="Calibri" w:hAnsi="Calibri"/>
          <w:b/>
          <w:color w:val="1A1A2E"/>
          <w:sz w:val="18"/>
        </w:rPr>
        <w:t>KUAHENE by ComplyHI</w:t>
      </w:r>
      <w:r>
        <w:rPr>
          <w:rFonts w:ascii="Calibri" w:hAnsi="Calibri"/>
          <w:color w:val="666666"/>
          <w:sz w:val="16"/>
        </w:rPr>
        <w:t xml:space="preserve">  |  On-Premises AI Security Operations  |  complyhi.com  |  info@complyhi.com</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Calibri" w:hAnsi="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