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309EF" w14:textId="72134E61" w:rsid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bookmarkStart w:id="0" w:name="_GoBack"/>
      <w:bookmarkEnd w:id="0"/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 xml:space="preserve">Arquitetura dos </w:t>
      </w:r>
      <w:proofErr w:type="spellStart"/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SGBDs</w:t>
      </w:r>
      <w:proofErr w:type="spellEnd"/>
    </w:p>
    <w:p w14:paraId="69B2D0AD" w14:textId="77777777" w:rsidR="00F01DBF" w:rsidRPr="00F01DBF" w:rsidRDefault="00F01DBF" w:rsidP="00F01DBF">
      <w:pPr>
        <w:shd w:val="clear" w:color="auto" w:fill="FFFFFF"/>
        <w:spacing w:after="0" w:line="384" w:lineRule="atLeast"/>
        <w:ind w:left="1401"/>
        <w:jc w:val="both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</w:p>
    <w:p w14:paraId="23E0CBB3" w14:textId="68EC190B" w:rsid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Nesta aula vamos verificar a seguir como estão estruturados os principais Sistemas Gerenciadores de Banco de Dados utilizados pelas empresas: o Oracle, o SQL Server da Microsoft, o MySQL (agora da Oracle),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PostGre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(open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source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) e o DB2 da IBM.</w:t>
      </w:r>
    </w:p>
    <w:p w14:paraId="4489B5E1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</w:p>
    <w:p w14:paraId="01F35C83" w14:textId="0BFC7D5A" w:rsid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 xml:space="preserve">Arquitetura do Oracle </w:t>
      </w:r>
      <w:proofErr w:type="spellStart"/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Database</w:t>
      </w:r>
      <w:proofErr w:type="spellEnd"/>
    </w:p>
    <w:p w14:paraId="7061ACE0" w14:textId="77777777" w:rsidR="00F01DBF" w:rsidRPr="00F01DBF" w:rsidRDefault="00F01DBF" w:rsidP="00F01DBF">
      <w:pPr>
        <w:shd w:val="clear" w:color="auto" w:fill="FFFFFF"/>
        <w:spacing w:after="0" w:line="384" w:lineRule="atLeast"/>
        <w:ind w:left="1401"/>
        <w:jc w:val="both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</w:p>
    <w:p w14:paraId="7030AFD4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A arquitetura do Oracle é composta de duas partes básicas:</w:t>
      </w:r>
    </w:p>
    <w:p w14:paraId="16D65899" w14:textId="77777777" w:rsidR="00F01DBF" w:rsidRPr="00F01DBF" w:rsidRDefault="00F01DBF" w:rsidP="00F01DBF">
      <w:pPr>
        <w:pStyle w:val="PargrafodaLista"/>
        <w:numPr>
          <w:ilvl w:val="0"/>
          <w:numId w:val="9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Banco de Dados (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Database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)</w:t>
      </w:r>
    </w:p>
    <w:p w14:paraId="3811A473" w14:textId="77777777" w:rsidR="00F01DBF" w:rsidRPr="00F01DBF" w:rsidRDefault="00F01DBF" w:rsidP="00F01DBF">
      <w:pPr>
        <w:pStyle w:val="PargrafodaLista"/>
        <w:numPr>
          <w:ilvl w:val="0"/>
          <w:numId w:val="9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Instância (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Instance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)</w:t>
      </w:r>
    </w:p>
    <w:p w14:paraId="17DE9277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A Instância está composta pelas estruturas de memória conhecida por SGA (System Global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Area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) – área global do sistema e pelos processos de segundo plano (background).</w:t>
      </w:r>
    </w:p>
    <w:p w14:paraId="50A5AC08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A SGA é uma área de memória usada para armazenar informações de bancos de dados que sejam compartilhadas pelos processos do banco de dados. A SGA contém dados e controla informações para o servidor Oracle. A SGA está alocada na memória virtual do computador no qual o servidor Oracle reside.</w:t>
      </w:r>
    </w:p>
    <w:p w14:paraId="7EC58FB6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Os processos de segundo plano executam tarefas de E/S e monitoram outros processos Oracle, para oferecer maior paralelismo e integridade dos dados, o que aumenta o desempenho e a confiabilidade do sistema.</w:t>
      </w:r>
    </w:p>
    <w:p w14:paraId="7C272D07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Já o banco de dados Oracle possui uma estrutura física e uma estrutura lógica, a estrutura física consiste em três tipos de arquivos: arquivos de dados (Data files), arquivos de controle (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Control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Files) e arquivos de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Redo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(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Redo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log files).</w:t>
      </w:r>
    </w:p>
    <w:p w14:paraId="05F765C0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A estrutura lógica representa os componentes que você pode ver no Banco de Dados Oracle, ela inclui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tablespaces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, segmentos, extensões e blocos de dados (tabelas, índices etc.).</w:t>
      </w:r>
    </w:p>
    <w:p w14:paraId="7F072221" w14:textId="2C7C3B98" w:rsid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Esses conceitos também são vistos na disciplina de administração de banco de dados.</w:t>
      </w:r>
    </w:p>
    <w:p w14:paraId="35070232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</w:p>
    <w:p w14:paraId="4FB552B5" w14:textId="77777777" w:rsidR="00F01DBF" w:rsidRP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Arquitetura do MS SQL Server</w:t>
      </w:r>
    </w:p>
    <w:p w14:paraId="7A32DA5E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lastRenderedPageBreak/>
        <w:t>O SQL Server também está preparado para suportar centenas de instâncias diferentes no servidor e compartilhar os recursos de hardware. Para isso, o SQL Server possui internamente em sua arquitetura componentes para o suporte aos recursos de instância.</w:t>
      </w:r>
    </w:p>
    <w:p w14:paraId="0BF04894" w14:textId="77777777" w:rsidR="00F01DBF" w:rsidRPr="00F01DBF" w:rsidRDefault="00F01DBF" w:rsidP="00F01DBF">
      <w:pPr>
        <w:pStyle w:val="PargrafodaLista"/>
        <w:numPr>
          <w:ilvl w:val="0"/>
          <w:numId w:val="10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Database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Engine</w:t>
      </w:r>
      <w:proofErr w:type="spellEnd"/>
    </w:p>
    <w:p w14:paraId="1C1D1622" w14:textId="77777777" w:rsidR="00F01DBF" w:rsidRPr="00F01DBF" w:rsidRDefault="00F01DBF" w:rsidP="00F01DBF">
      <w:pPr>
        <w:pStyle w:val="PargrafodaLista"/>
        <w:numPr>
          <w:ilvl w:val="0"/>
          <w:numId w:val="10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Analisys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Services</w:t>
      </w:r>
    </w:p>
    <w:p w14:paraId="22E6CAF4" w14:textId="77777777" w:rsidR="00F01DBF" w:rsidRPr="00F01DBF" w:rsidRDefault="00F01DBF" w:rsidP="00F01DBF">
      <w:pPr>
        <w:pStyle w:val="PargrafodaLista"/>
        <w:numPr>
          <w:ilvl w:val="0"/>
          <w:numId w:val="10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Reporting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Services</w:t>
      </w:r>
    </w:p>
    <w:p w14:paraId="0B04B9C0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Existem outros componentes que não suportam o recurso de instância:</w:t>
      </w:r>
    </w:p>
    <w:p w14:paraId="4F56BCB0" w14:textId="77777777" w:rsidR="00F01DBF" w:rsidRPr="00F01DBF" w:rsidRDefault="00F01DBF" w:rsidP="00F01DBF">
      <w:pPr>
        <w:pStyle w:val="PargrafodaLista"/>
        <w:numPr>
          <w:ilvl w:val="0"/>
          <w:numId w:val="11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Integration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Services</w:t>
      </w:r>
    </w:p>
    <w:p w14:paraId="4D917FC8" w14:textId="77777777" w:rsidR="00F01DBF" w:rsidRPr="00F01DBF" w:rsidRDefault="00F01DBF" w:rsidP="00F01DBF">
      <w:pPr>
        <w:pStyle w:val="PargrafodaLista"/>
        <w:numPr>
          <w:ilvl w:val="0"/>
          <w:numId w:val="11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gram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Books Online</w:t>
      </w:r>
      <w:proofErr w:type="gramEnd"/>
    </w:p>
    <w:p w14:paraId="61DFFF4F" w14:textId="77777777" w:rsidR="00F01DBF" w:rsidRPr="00F01DBF" w:rsidRDefault="00F01DBF" w:rsidP="00F01DBF">
      <w:pPr>
        <w:pStyle w:val="PargrafodaLista"/>
        <w:numPr>
          <w:ilvl w:val="0"/>
          <w:numId w:val="11"/>
        </w:numPr>
        <w:shd w:val="clear" w:color="auto" w:fill="FFFFFF"/>
        <w:spacing w:before="240" w:after="24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Ferramentas de Gerenciamento</w:t>
      </w:r>
    </w:p>
    <w:p w14:paraId="695269DD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No momento da instalação o SQL Server nos dá a opção de nomearmos a instância (instância nomeada) ou utilizar a instância-padrão para nos conectarmos ao serviço.</w:t>
      </w:r>
    </w:p>
    <w:p w14:paraId="19B44045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Ainda durante a instalação, o SQL Server já cria vários bancos de dados que armazenam dados do sistema e os utilizam para controles internos, parecido com o que faz o Oracle com os processos de segundo plano.</w:t>
      </w:r>
    </w:p>
    <w:p w14:paraId="331249A5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Os bancos de dados do sistema do SQL Server são:</w:t>
      </w:r>
    </w:p>
    <w:p w14:paraId="5FA009B8" w14:textId="77777777" w:rsidR="00F01DBF" w:rsidRPr="00F01DBF" w:rsidRDefault="00F01DBF" w:rsidP="00F01DBF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Master: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que armazena toda a configuração do servidor e informações das instâncias.</w:t>
      </w:r>
    </w:p>
    <w:p w14:paraId="19A1BC53" w14:textId="77777777" w:rsidR="00F01DBF" w:rsidRPr="00F01DBF" w:rsidRDefault="00F01DBF" w:rsidP="00F01DBF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Resource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armazena objetos do sistema.</w:t>
      </w:r>
    </w:p>
    <w:p w14:paraId="6CC285E1" w14:textId="77777777" w:rsidR="00F01DBF" w:rsidRPr="00F01DBF" w:rsidRDefault="00F01DBF" w:rsidP="00F01DBF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Model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fornece o modelo de todos os bancos de dados que serão criados.</w:t>
      </w:r>
    </w:p>
    <w:p w14:paraId="7D96FEBF" w14:textId="77777777" w:rsidR="00F01DBF" w:rsidRPr="00F01DBF" w:rsidRDefault="00F01DBF" w:rsidP="00F01DBF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tempdb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armazenamento de dados temporários.</w:t>
      </w:r>
    </w:p>
    <w:p w14:paraId="24B7E8E3" w14:textId="7558A11C" w:rsidR="00F01DBF" w:rsidRDefault="00F01DBF" w:rsidP="00F01DBF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msdb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é responsável pela automação de serviços.</w:t>
      </w:r>
    </w:p>
    <w:p w14:paraId="6429A3C2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3E6E1DEA" w14:textId="77777777" w:rsidR="00F01DBF" w:rsidRP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Arquitetura do MySQL</w:t>
      </w:r>
    </w:p>
    <w:p w14:paraId="217E5E7F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O MySQL tem recursos interessantes em sua arquitetura que tornam o sistema robusto e, ao mesmo tempo, otimiza os recursos de hardware.</w:t>
      </w:r>
    </w:p>
    <w:p w14:paraId="07FBE25E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É um sistema que trabalha na arquitetura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client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/server de duas e três camadas. O servidor SQL suporta diferentes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back-ends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, diferentes programas clientes, ferramentas administrativas e possui uma interface de programação.</w:t>
      </w:r>
    </w:p>
    <w:p w14:paraId="6527D469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Utiliza os serviços do próprio sistema operacional para a conexão com o servidor MySQL. Internamente possui o interpretador de consultas SQL, análise, cachê e os procedimentos armazenados.</w:t>
      </w:r>
    </w:p>
    <w:p w14:paraId="440CBD0D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Basicamente, o MySQL é composto por dois servidores:</w:t>
      </w:r>
    </w:p>
    <w:p w14:paraId="37BD6DB2" w14:textId="77777777" w:rsidR="00F01DBF" w:rsidRPr="00F01DBF" w:rsidRDefault="00F01DBF" w:rsidP="00F01DBF">
      <w:pPr>
        <w:pStyle w:val="PargrafodaLista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mysqld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verifica a alocação automática de memória.</w:t>
      </w:r>
    </w:p>
    <w:p w14:paraId="7926148F" w14:textId="1C8F665E" w:rsidR="00F01DBF" w:rsidRDefault="00F01DBF" w:rsidP="00F01DBF">
      <w:pPr>
        <w:pStyle w:val="PargrafodaLista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lastRenderedPageBreak/>
        <w:t>mysqld-opt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otimizador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do processador.</w:t>
      </w:r>
    </w:p>
    <w:p w14:paraId="4456D8C0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44EFBC6B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É composto pelas camadas:</w:t>
      </w:r>
    </w:p>
    <w:p w14:paraId="3C1C221F" w14:textId="77777777" w:rsidR="00F01DBF" w:rsidRPr="00F01DBF" w:rsidRDefault="00F01DBF" w:rsidP="00F01DBF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 xml:space="preserve">Lexical </w:t>
      </w: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analyser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análise de comando</w:t>
      </w:r>
    </w:p>
    <w:p w14:paraId="1E55E385" w14:textId="77777777" w:rsidR="00F01DBF" w:rsidRPr="00F01DBF" w:rsidRDefault="00F01DBF" w:rsidP="00F01DBF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Basic SQL: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interpretador SQL</w:t>
      </w:r>
    </w:p>
    <w:p w14:paraId="60061A24" w14:textId="77777777" w:rsidR="00F01DBF" w:rsidRPr="00F01DBF" w:rsidRDefault="00F01DBF" w:rsidP="00F01DBF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 xml:space="preserve">Query </w:t>
      </w: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Optimizer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otimizador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de consultas</w:t>
      </w:r>
    </w:p>
    <w:p w14:paraId="6525B317" w14:textId="4868065F" w:rsidR="00F01DBF" w:rsidRDefault="00F01DBF" w:rsidP="00F01DBF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Automatic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 xml:space="preserve"> </w:t>
      </w: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recovery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recursos de recuperação em caso de falhas</w:t>
      </w:r>
    </w:p>
    <w:p w14:paraId="59C93D3B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41565DED" w14:textId="1AB5661F" w:rsid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Características do PostgreSQL</w:t>
      </w:r>
    </w:p>
    <w:p w14:paraId="3C1B8037" w14:textId="77777777" w:rsidR="00F01DBF" w:rsidRPr="00F01DBF" w:rsidRDefault="00F01DBF" w:rsidP="00F01DBF">
      <w:pPr>
        <w:shd w:val="clear" w:color="auto" w:fill="FFFFFF"/>
        <w:spacing w:after="0" w:line="384" w:lineRule="atLeast"/>
        <w:ind w:left="1401"/>
        <w:jc w:val="both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</w:p>
    <w:p w14:paraId="2858F337" w14:textId="69D61B51" w:rsid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O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Postgre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também utiliza o modelo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client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-server e possui os seguintes processos:</w:t>
      </w:r>
    </w:p>
    <w:p w14:paraId="55E2D87A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</w:p>
    <w:p w14:paraId="77775E38" w14:textId="77777777" w:rsidR="00F01DBF" w:rsidRPr="00F01DBF" w:rsidRDefault="00F01DBF" w:rsidP="00F01DBF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Parser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valida a sintaxe da solicitação da transação SQL (analisador léxico).</w:t>
      </w:r>
    </w:p>
    <w:p w14:paraId="396670FF" w14:textId="7A97A94B" w:rsidR="00F01DBF" w:rsidRDefault="00F01DBF" w:rsidP="00F01DBF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Postgres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é o servidor de processos que gerencia os arquivos de banco de dados, autentica conexões dos aplicativos do cliente com o banco de dados e executa esses aplicativos.</w:t>
      </w:r>
    </w:p>
    <w:p w14:paraId="27468E72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2A09BAC8" w14:textId="58D369FA" w:rsid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Esses aplicativos podem ser: em modo caractere, um aplicativo gráfico ou um servidor Web que acessa o banco de dados por meio de páginas Web.</w:t>
      </w:r>
    </w:p>
    <w:p w14:paraId="531B84FE" w14:textId="77777777" w:rsidR="00F01DBF" w:rsidRDefault="00F01DBF" w:rsidP="00F01DBF">
      <w:pPr>
        <w:shd w:val="clear" w:color="auto" w:fill="FFFFFF"/>
        <w:spacing w:after="0" w:line="384" w:lineRule="atLeast"/>
        <w:jc w:val="both"/>
        <w:outlineLvl w:val="2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</w:p>
    <w:p w14:paraId="524F63D2" w14:textId="15AE19AB" w:rsid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Arquitetura do DB2</w:t>
      </w:r>
    </w:p>
    <w:p w14:paraId="027A9411" w14:textId="77777777" w:rsidR="00F01DBF" w:rsidRPr="00F01DBF" w:rsidRDefault="00F01DBF" w:rsidP="00F01DBF">
      <w:pPr>
        <w:shd w:val="clear" w:color="auto" w:fill="FFFFFF"/>
        <w:spacing w:after="0" w:line="384" w:lineRule="atLeast"/>
        <w:ind w:left="1401"/>
        <w:jc w:val="both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</w:p>
    <w:p w14:paraId="4AB54EF9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A arquitetura do sistema da IBM possui basicamente o controle de processo, de memória e de armazenamento.</w:t>
      </w:r>
    </w:p>
    <w:p w14:paraId="28A37E93" w14:textId="77777777" w:rsidR="00F01DBF" w:rsidRPr="00F01DBF" w:rsidRDefault="00F01DBF" w:rsidP="00F01DBF">
      <w:pPr>
        <w:pStyle w:val="PargrafodaLista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Componente de processo do DB2: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vários processos são controlados neste componente, o principal processo é o db2sysc, que acaba abrindo outros processos a partir de uma aplicação remota que se conecta ao servidor pela instrução SQL CONNECT.</w:t>
      </w:r>
    </w:p>
    <w:p w14:paraId="233B9842" w14:textId="71B34B4E" w:rsidR="00F01DBF" w:rsidRDefault="00F01DBF" w:rsidP="00F01DBF">
      <w:pPr>
        <w:pStyle w:val="PargrafodaLista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Componente memória: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 possui áreas de memória em nível de instância, de base de dados e de aplicação.</w:t>
      </w:r>
    </w:p>
    <w:p w14:paraId="065CD65E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404CE110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Quando se inicia uma instância, um espaço de memória é alocado, esse espaço ocupado é chamado de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Database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Global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Memory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(semelhante ao SGA do Oracle), que possui um bloco principal denominado buffer pool e também composto de cachês de dados e de aplicação, registros (logs) das transações e um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restore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 xml:space="preserve"> buffer que permite controle das transações em casos de falhas.</w:t>
      </w:r>
    </w:p>
    <w:p w14:paraId="6062E86B" w14:textId="32987E56" w:rsid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Modelo de Armazenamento: constituído de três componentes:</w:t>
      </w:r>
    </w:p>
    <w:p w14:paraId="2D060895" w14:textId="77777777" w:rsidR="00F01DBF" w:rsidRDefault="00F01DBF" w:rsidP="00F01DBF">
      <w:p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</w:p>
    <w:p w14:paraId="4D7B4742" w14:textId="11FCDF0F" w:rsidR="00F01DBF" w:rsidRPr="00F01DBF" w:rsidRDefault="00F01DBF" w:rsidP="00F01DBF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 xml:space="preserve">Páginas e </w:t>
      </w: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Extents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 página é a unidade mínima de armazenamento semelhante ao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block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do Oracle. O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Extent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(semelhante ao Oracle) é um conjunto de páginas.</w:t>
      </w:r>
    </w:p>
    <w:p w14:paraId="0D698885" w14:textId="77777777" w:rsidR="00F01DBF" w:rsidRPr="00F01DBF" w:rsidRDefault="00F01DBF" w:rsidP="00F01DBF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lastRenderedPageBreak/>
        <w:t>Buffer pool: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 é um espaço de memória (semelhante ao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shared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poll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do Oracle), em que se mantém um cache de dados, índices evitando perda de tempo de acesso em operações de entrada e saída de dados em disco, mantendo-os na memória principal.</w:t>
      </w:r>
    </w:p>
    <w:p w14:paraId="24A70C1E" w14:textId="6DCAD81B" w:rsidR="00F01DBF" w:rsidRDefault="00F01DBF" w:rsidP="00F01DBF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  <w:proofErr w:type="spellStart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Tablespace</w:t>
      </w:r>
      <w:proofErr w:type="spellEnd"/>
      <w:r w:rsidRPr="00F01DBF">
        <w:rPr>
          <w:rFonts w:ascii="robotoregular" w:eastAsia="Times New Roman" w:hAnsi="robotoregular" w:cs="Times New Roman"/>
          <w:b/>
          <w:bCs/>
          <w:color w:val="6C6C6C"/>
          <w:sz w:val="24"/>
          <w:szCs w:val="24"/>
          <w:lang w:eastAsia="pt-BR"/>
        </w:rPr>
        <w:t>:</w:t>
      </w:r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 é a estrutura lógica dos dados que serão armazenados fisicamente, igual a </w:t>
      </w:r>
      <w:proofErr w:type="spellStart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>tablespace</w:t>
      </w:r>
      <w:proofErr w:type="spellEnd"/>
      <w:r w:rsidRPr="00F01DBF"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  <w:t xml:space="preserve"> do Oracle.</w:t>
      </w:r>
    </w:p>
    <w:p w14:paraId="19D1837D" w14:textId="77777777" w:rsidR="00F01DBF" w:rsidRPr="00F01DBF" w:rsidRDefault="00F01DBF" w:rsidP="00F01DBF">
      <w:pPr>
        <w:pStyle w:val="PargrafodaLista"/>
        <w:shd w:val="clear" w:color="auto" w:fill="FFFFFF"/>
        <w:spacing w:after="0" w:line="240" w:lineRule="auto"/>
        <w:jc w:val="both"/>
        <w:rPr>
          <w:rFonts w:ascii="pt_serifregular" w:eastAsia="Times New Roman" w:hAnsi="pt_serifregular" w:cs="Times New Roman"/>
          <w:color w:val="6C6C6C"/>
          <w:sz w:val="24"/>
          <w:szCs w:val="24"/>
          <w:lang w:eastAsia="pt-BR"/>
        </w:rPr>
      </w:pPr>
    </w:p>
    <w:p w14:paraId="37889E69" w14:textId="77777777" w:rsidR="00F01DBF" w:rsidRPr="00F01DBF" w:rsidRDefault="00F01DBF" w:rsidP="00F01DBF">
      <w:pPr>
        <w:shd w:val="clear" w:color="auto" w:fill="FFFFFF"/>
        <w:spacing w:after="0" w:line="384" w:lineRule="atLeast"/>
        <w:jc w:val="center"/>
        <w:outlineLvl w:val="2"/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</w:pPr>
      <w:r w:rsidRPr="00F01DBF">
        <w:rPr>
          <w:rFonts w:ascii="inherit" w:eastAsia="Times New Roman" w:hAnsi="inherit" w:cs="Times New Roman"/>
          <w:color w:val="2EA1CD"/>
          <w:sz w:val="42"/>
          <w:szCs w:val="42"/>
          <w:lang w:eastAsia="pt-BR"/>
        </w:rPr>
        <w:t>Considerações finais</w:t>
      </w:r>
    </w:p>
    <w:p w14:paraId="0F31EEE0" w14:textId="77777777" w:rsidR="00F01DBF" w:rsidRPr="00F01DBF" w:rsidRDefault="00F01DBF" w:rsidP="00F01DBF">
      <w:pPr>
        <w:shd w:val="clear" w:color="auto" w:fill="FFFFFF"/>
        <w:spacing w:after="0" w:line="391" w:lineRule="atLeast"/>
        <w:jc w:val="both"/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</w:pPr>
      <w:r w:rsidRPr="00F01DBF">
        <w:rPr>
          <w:rFonts w:ascii="pt_serifregular" w:eastAsia="Times New Roman" w:hAnsi="pt_serifregular" w:cs="Times New Roman"/>
          <w:color w:val="6C6C6C"/>
          <w:spacing w:val="6"/>
          <w:sz w:val="24"/>
          <w:szCs w:val="24"/>
          <w:lang w:eastAsia="pt-BR"/>
        </w:rPr>
        <w:t>Pelo que podemos verificar, apesar de serem produtos diferentes e as arquiteturas desses sistemas possuírem componentes com nomes específicos, em geral esses sistemas possuem os mesmos conceitos de controlar serviços e dados em memória principal, controlar o armazenamento físico dos dados, controlar concorrência e permitir recuperação de dados em caso de falhas de hardware ou de softwares.</w:t>
      </w:r>
    </w:p>
    <w:p w14:paraId="6D160239" w14:textId="77777777" w:rsidR="007F158B" w:rsidRDefault="007F158B"/>
    <w:sectPr w:rsidR="007F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12DFB6" w14:textId="77777777" w:rsidR="00EF09B1" w:rsidRDefault="00EF09B1" w:rsidP="00F01DBF">
      <w:pPr>
        <w:spacing w:after="0" w:line="240" w:lineRule="auto"/>
      </w:pPr>
      <w:r>
        <w:separator/>
      </w:r>
    </w:p>
  </w:endnote>
  <w:endnote w:type="continuationSeparator" w:id="0">
    <w:p w14:paraId="118008F6" w14:textId="77777777" w:rsidR="00EF09B1" w:rsidRDefault="00EF09B1" w:rsidP="00F01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pt_serifregular">
    <w:altName w:val="Arial"/>
    <w:panose1 w:val="00000000000000000000"/>
    <w:charset w:val="00"/>
    <w:family w:val="roman"/>
    <w:notTrueType/>
    <w:pitch w:val="default"/>
  </w:font>
  <w:font w:name="robotoregula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BFAD1" w14:textId="77777777" w:rsidR="00EF09B1" w:rsidRDefault="00EF09B1" w:rsidP="00F01DBF">
      <w:pPr>
        <w:spacing w:after="0" w:line="240" w:lineRule="auto"/>
      </w:pPr>
      <w:r>
        <w:separator/>
      </w:r>
    </w:p>
  </w:footnote>
  <w:footnote w:type="continuationSeparator" w:id="0">
    <w:p w14:paraId="2155F791" w14:textId="77777777" w:rsidR="00EF09B1" w:rsidRDefault="00EF09B1" w:rsidP="00F01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1599"/>
    <w:multiLevelType w:val="multilevel"/>
    <w:tmpl w:val="704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FB9"/>
    <w:multiLevelType w:val="hybridMultilevel"/>
    <w:tmpl w:val="AC34E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47E6"/>
    <w:multiLevelType w:val="multilevel"/>
    <w:tmpl w:val="1DA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F2B"/>
    <w:multiLevelType w:val="multilevel"/>
    <w:tmpl w:val="DF8A5E70"/>
    <w:lvl w:ilvl="0">
      <w:start w:val="1"/>
      <w:numFmt w:val="bullet"/>
      <w:lvlText w:val=""/>
      <w:lvlJc w:val="left"/>
      <w:pPr>
        <w:tabs>
          <w:tab w:val="num" w:pos="-2226"/>
        </w:tabs>
        <w:ind w:left="-222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506"/>
        </w:tabs>
        <w:ind w:left="-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86"/>
        </w:tabs>
        <w:ind w:left="-7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66"/>
        </w:tabs>
        <w:ind w:left="-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4"/>
        </w:tabs>
        <w:ind w:left="6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74"/>
        </w:tabs>
        <w:ind w:left="13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094"/>
        </w:tabs>
        <w:ind w:left="20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14"/>
        </w:tabs>
        <w:ind w:left="28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41EEB"/>
    <w:multiLevelType w:val="hybridMultilevel"/>
    <w:tmpl w:val="A768A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E10D0"/>
    <w:multiLevelType w:val="hybridMultilevel"/>
    <w:tmpl w:val="74067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11739"/>
    <w:multiLevelType w:val="hybridMultilevel"/>
    <w:tmpl w:val="4C1A1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46916"/>
    <w:multiLevelType w:val="hybridMultilevel"/>
    <w:tmpl w:val="96523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11B5"/>
    <w:multiLevelType w:val="hybridMultilevel"/>
    <w:tmpl w:val="DD580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37561"/>
    <w:multiLevelType w:val="hybridMultilevel"/>
    <w:tmpl w:val="C5F84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553D5"/>
    <w:multiLevelType w:val="hybridMultilevel"/>
    <w:tmpl w:val="A0508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52A32"/>
    <w:multiLevelType w:val="multilevel"/>
    <w:tmpl w:val="E16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00E69"/>
    <w:multiLevelType w:val="multilevel"/>
    <w:tmpl w:val="E5B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872C2"/>
    <w:multiLevelType w:val="multilevel"/>
    <w:tmpl w:val="AF4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A1154"/>
    <w:multiLevelType w:val="multilevel"/>
    <w:tmpl w:val="0FC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604EC"/>
    <w:multiLevelType w:val="multilevel"/>
    <w:tmpl w:val="04B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604B5"/>
    <w:multiLevelType w:val="hybridMultilevel"/>
    <w:tmpl w:val="75CCB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4"/>
  </w:num>
  <w:num w:numId="5">
    <w:abstractNumId w:val="12"/>
  </w:num>
  <w:num w:numId="6">
    <w:abstractNumId w:val="13"/>
  </w:num>
  <w:num w:numId="7">
    <w:abstractNumId w:val="15"/>
  </w:num>
  <w:num w:numId="8">
    <w:abstractNumId w:val="2"/>
  </w:num>
  <w:num w:numId="9">
    <w:abstractNumId w:val="7"/>
  </w:num>
  <w:num w:numId="10">
    <w:abstractNumId w:val="4"/>
  </w:num>
  <w:num w:numId="11">
    <w:abstractNumId w:val="16"/>
  </w:num>
  <w:num w:numId="12">
    <w:abstractNumId w:val="6"/>
  </w:num>
  <w:num w:numId="13">
    <w:abstractNumId w:val="10"/>
  </w:num>
  <w:num w:numId="14">
    <w:abstractNumId w:val="8"/>
  </w:num>
  <w:num w:numId="15">
    <w:abstractNumId w:val="1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9C"/>
    <w:rsid w:val="0060089C"/>
    <w:rsid w:val="007F158B"/>
    <w:rsid w:val="00EF09B1"/>
    <w:rsid w:val="00F0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F23C03"/>
  <w15:chartTrackingRefBased/>
  <w15:docId w15:val="{163547A4-F86B-4233-8135-F0E8D76E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01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01D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1DBF"/>
    <w:rPr>
      <w:b/>
      <w:bCs/>
    </w:rPr>
  </w:style>
  <w:style w:type="paragraph" w:styleId="PargrafodaLista">
    <w:name w:val="List Paragraph"/>
    <w:basedOn w:val="Normal"/>
    <w:uiPriority w:val="34"/>
    <w:qFormat/>
    <w:rsid w:val="00F01DB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01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1DBF"/>
  </w:style>
  <w:style w:type="paragraph" w:styleId="Rodap">
    <w:name w:val="footer"/>
    <w:basedOn w:val="Normal"/>
    <w:link w:val="RodapChar"/>
    <w:uiPriority w:val="99"/>
    <w:unhideWhenUsed/>
    <w:rsid w:val="00F01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6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6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167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26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3311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655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3182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711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2340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361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8392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144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60183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79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964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399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288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9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4422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526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20140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24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4502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65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548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3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517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215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831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635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290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56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955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8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56270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113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4008">
              <w:marLeft w:val="11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Souza Melo</dc:creator>
  <cp:keywords/>
  <dc:description/>
  <cp:lastModifiedBy>Lucas de Souza Melo</cp:lastModifiedBy>
  <cp:revision>2</cp:revision>
  <dcterms:created xsi:type="dcterms:W3CDTF">2019-02-06T22:59:00Z</dcterms:created>
  <dcterms:modified xsi:type="dcterms:W3CDTF">2019-02-06T23:04:00Z</dcterms:modified>
</cp:coreProperties>
</file>