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Procedures Part 252</w:t>
      </w:r>
    </w:p>
    <w:p>
      <w:r>
        <w:t>Travel costs are reimbursed at the rates in effect on the date the travel began. Receipts are required for any single expense of twenty-five dollars or more. Requests submitted more than sixty days after the end of travel require written justification from the department head.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Travel costs are reimbursed at the rates in effect on the date the travel began. Receipts are required for any single expense of twenty-five dollars or more. Requests submitted more than sixty days after the end of travel require written justification from the department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901" Type="http://schemas.openxmlformats.org/officeDocument/2006/relationships/image" Target="media/"/><Relationship Id="rId902" Type="http://schemas.openxmlformats.org/officeDocument/2006/relationships/image" Target="media/Graphics/never-packaged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Procedures Part 252</dc:title>
  <dc:subject/>
  <dc:creator>fixture</dc:creator>
  <cp:keywords/>
  <dc:description>generated by python-docx</dc:description>
  <cp:lastModifiedBy>fixture</cp:lastModifiedBy>
  <cp:revision>1</cp:revision>
  <dcterms:created xsi:type="dcterms:W3CDTF">2020-01-01T00:00:00Z</dcterms:created>
  <dcterms:modified xsi:type="dcterms:W3CDTF">2020-01-01T00:00:00Z</dcterms:modified>
  <cp:category/>
</cp:coreProperties>
</file>