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Abgeschlossen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3"/>
        <w:gridCol w:w="2301"/>
        <w:gridCol w:w="3597"/>
        <w:gridCol w:w="2157"/>
        <w:tblGridChange w:id="0">
          <w:tblGrid>
            <w:gridCol w:w="1293"/>
            <w:gridCol w:w="2301"/>
            <w:gridCol w:w="3597"/>
            <w:gridCol w:w="21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Anlage und erster Entwurf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25.02.2023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13.03.2023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Betriebsanforderungen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 Inbetriebnahme der Schnittstelle und das Starten sowie das Stoppen von Messungen muss jederzeit möglich sein.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Messungen sollten archiviert und jederzeit verfügbar sein.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Web Frontend soll über das GSI-Lan erreichbar sein.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Eine Datensicherung kann über ein Backup der Postgres Datenbank realisiert werden.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Personalanforderungen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Als Nutzer kommen alle Mitarbeiter und Betreuer von </w:t>
      </w:r>
      <w:r w:rsidDel="00000000" w:rsidR="00000000" w:rsidRPr="00000000">
        <w:rPr>
          <w:rFonts w:ascii="Arial" w:cs="Arial" w:eastAsia="Arial" w:hAnsi="Arial"/>
          <w:rtl w:val="0"/>
        </w:rPr>
        <w:t xml:space="preserve">Experimentaufbauten</w:t>
      </w:r>
      <w:r w:rsidDel="00000000" w:rsidR="00000000" w:rsidRPr="00000000">
        <w:rPr>
          <w:rFonts w:ascii="Arial" w:cs="Arial" w:eastAsia="Arial" w:hAnsi="Arial"/>
          <w:rtl w:val="0"/>
        </w:rPr>
        <w:t xml:space="preserve"> mit Zugang zum Massenspektrometer in Frage.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Für die Integration ins GSI-LAN ist die Abteilung IT-Sicherheit zu konsultieren.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  <w:tab w:val="left" w:leader="none" w:pos="12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Richtlinien</w:t>
      </w:r>
    </w:p>
    <w:p w:rsidR="00000000" w:rsidDel="00000000" w:rsidP="00000000" w:rsidRDefault="00000000" w:rsidRPr="00000000" w14:paraId="00000033">
      <w:pPr>
        <w:widowControl w:val="0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gelten die Allgemeinen Sicherheitsbestimmungen der GSI. Der Experimentierplatz wird als Abgeschlossene Elektrische Betriebsstätte (AEB) eingestuft und fällt unter den Strahlenschutzbereich.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 Richtlinien zum Datenschutz sind dem Dokument “Datenschutzanforderungen” zu entnehmen.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Betriebskonzept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LM</w:t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13.03.2023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Betriebskonzept</w:t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