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945"/>
        <w:tblGridChange w:id="0">
          <w:tblGrid>
            <w:gridCol w:w="2760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Bearbeitung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Lars Meise, Marius Bäsler, Tobias Bittl, Andreas Junemann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2310"/>
        <w:gridCol w:w="3600"/>
        <w:gridCol w:w="2550"/>
        <w:tblGridChange w:id="0">
          <w:tblGrid>
            <w:gridCol w:w="1275"/>
            <w:gridCol w:w="2310"/>
            <w:gridCol w:w="3600"/>
            <w:gridCol w:w="255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Andreas Junemann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Entwurf – Anlage des Dokuments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03.03.2023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Andreas Junemann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Ergänzung von Anforderungen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Andreas Junemann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Statuswechsel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13.03.2023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Organisatorische Anforderungen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Personenbezogene Daten der Projektmitarbeiter unterliegen der Datenschutz-Grundverordnung (DSGVO). Alle relevanten personenbezogene Daten sind in Art. 4 der DSGVO definiert.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 Kostenkalkulation dürfen Stundensätze und aufgewendete Zeiten der Projektmitarbeiter herangezogen werden.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Technische Anforderungen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gibt aktuell keine technischen Datenschutzanforderungen. Source Code und akquirierte Messdaten der Restgasanalyse sind frei zugänglich.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hadows Into Light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GSI</w:t>
          </w:r>
        </w:p>
      </w:tc>
      <w:tc>
        <w:tcPr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Datenschutzanforderungen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AJ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03.03.2023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Datenschutzanforderungen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QB1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Shadows Into Light" w:cs="Shadows Into Light" w:eastAsia="Shadows Into Light" w:hAnsi="Shadows Into Ligh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Restgasanalyse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Shadows Into Light" w:cs="Shadows Into Light" w:eastAsia="Shadows Into Light" w:hAnsi="Shadows Into Ligh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1.0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>
    <w:name w:val="Standard"/>
    <w:next w:val="Standar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de-DE"/>
    </w:rPr>
  </w:style>
  <w:style w:type="paragraph" w:styleId="Überschrift1">
    <w:name w:val="Überschrift 1"/>
    <w:basedOn w:val="Standard"/>
    <w:next w:val="Standard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snapToGrid w:val="0"/>
      <w:w w:val="100"/>
      <w:kern w:val="28"/>
      <w:position w:val="-1"/>
      <w:sz w:val="24"/>
      <w:effect w:val="none"/>
      <w:vertAlign w:val="baseline"/>
      <w:cs w:val="0"/>
      <w:em w:val="none"/>
      <w:lang w:bidi="ar-SA" w:eastAsia="de-DE" w:val="de-DE"/>
    </w:rPr>
  </w:style>
  <w:style w:type="paragraph" w:styleId="Überschrift2">
    <w:name w:val="Überschrift 2"/>
    <w:basedOn w:val="Standard"/>
    <w:next w:val="Standard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noProof w:val="0"/>
      <w:snapToGrid w:val="0"/>
      <w:w w:val="100"/>
      <w:position w:val="-1"/>
      <w:effect w:val="none"/>
      <w:vertAlign w:val="baseline"/>
      <w:cs w:val="0"/>
      <w:em w:val="none"/>
      <w:lang w:bidi="ar-SA" w:eastAsia="de-DE" w:val="de-DE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aleTabelle">
    <w:name w:val="Normale Tabelle"/>
    <w:next w:val="NormaleTabel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aleTabel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>
    <w:name w:val="Keine Liste"/>
    <w:next w:val="Kei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Kopfzeile">
    <w:name w:val="Kopfzeile"/>
    <w:basedOn w:val="Standard"/>
    <w:next w:val="Kopfzeil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de-DE"/>
    </w:rPr>
  </w:style>
  <w:style w:type="paragraph" w:styleId="Fußzeile">
    <w:name w:val="Fußzeile"/>
    <w:basedOn w:val="Standard"/>
    <w:next w:val="Fußzeil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de-DE"/>
    </w:rPr>
  </w:style>
  <w:style w:type="character" w:styleId="Seitenzahl">
    <w:name w:val="Seitenzahl"/>
    <w:basedOn w:val="Absatz-Standardschriftart"/>
    <w:next w:val="Seitenzah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körper">
    <w:name w:val="Textkörper"/>
    <w:basedOn w:val="Standard"/>
    <w:next w:val="Textkörp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color w:val="ff0000"/>
      <w:w w:val="100"/>
      <w:position w:val="-1"/>
      <w:sz w:val="22"/>
      <w:effect w:val="none"/>
      <w:vertAlign w:val="baseline"/>
      <w:cs w:val="0"/>
      <w:em w:val="none"/>
      <w:lang w:bidi="ar-SA" w:eastAsia="de-DE" w:val="de-D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hadowsInto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iVix1rc4Xvhcwmk9GDs+uZimYQ==">AMUW2mXITquTlsEVOCqBE0OHAVtOLXAG/Y96badOUjCzPeAY3MbjZnEruMXR/JZkck1P9+bkgGm3yhMvW22XIx/XEbWU4D9b0YwPsgo8IYP6n9E9kmvqCrQ=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2007-02-18T20:18:00Z</dcterms:created>
  <dc:creator>FSC</dc:creator>
</cp:coreProperties>
</file>