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6945"/>
        <w:tblGridChange w:id="0">
          <w:tblGrid>
            <w:gridCol w:w="2694"/>
            <w:gridCol w:w="6945"/>
          </w:tblGrid>
        </w:tblGridChange>
      </w:tblGrid>
      <w:tr>
        <w:trPr>
          <w:cantSplit w:val="0"/>
          <w:trHeight w:val="392" w:hRule="atLeast"/>
          <w:tblHeader w:val="0"/>
        </w:trPr>
        <w:tc>
          <w:tcPr>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Projekttitel</w:t>
            </w:r>
            <w:r w:rsidDel="00000000" w:rsidR="00000000" w:rsidRPr="00000000">
              <w:rPr>
                <w:rtl w:val="0"/>
              </w:rPr>
            </w:r>
          </w:p>
        </w:tc>
        <w:tc>
          <w:tcPr>
            <w:vAlign w:val="top"/>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Restgasanalyse</w:t>
            </w:r>
            <w:r w:rsidDel="00000000" w:rsidR="00000000" w:rsidRPr="00000000">
              <w:rPr>
                <w:rtl w:val="0"/>
              </w:rPr>
            </w:r>
          </w:p>
        </w:tc>
      </w:tr>
      <w:tr>
        <w:trPr>
          <w:cantSplit w:val="0"/>
          <w:trHeight w:val="392" w:hRule="atLeast"/>
          <w:tblHeader w:val="0"/>
        </w:trPr>
        <w:tc>
          <w:tcPr>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tl w:val="0"/>
              </w:rPr>
            </w:r>
          </w:p>
        </w:tc>
        <w:tc>
          <w:tcP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Abgeschlossen</w:t>
            </w:r>
            <w:r w:rsidDel="00000000" w:rsidR="00000000" w:rsidRPr="00000000">
              <w:rPr>
                <w:rtl w:val="0"/>
              </w:rPr>
            </w:r>
          </w:p>
        </w:tc>
      </w:tr>
      <w:tr>
        <w:trPr>
          <w:cantSplit w:val="0"/>
          <w:trHeight w:val="392" w:hRule="atLeast"/>
          <w:tblHeader w:val="0"/>
        </w:trPr>
        <w:tc>
          <w:tcP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Verteiler</w:t>
            </w:r>
            <w:r w:rsidDel="00000000" w:rsidR="00000000" w:rsidRPr="00000000">
              <w:rPr>
                <w:rtl w:val="0"/>
              </w:rPr>
            </w:r>
          </w:p>
        </w:tc>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Lars Meise, Marius Bäsler, Tobias Bittl, Andreas Junemann</w:t>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A">
      <w:pPr>
        <w:tabs>
          <w:tab w:val="center" w:leader="none" w:pos="4536"/>
          <w:tab w:val="right" w:leader="none" w:pos="9072"/>
        </w:tabs>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Historie</w:t>
      </w: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tbl>
      <w:tblPr>
        <w:tblStyle w:val="Table2"/>
        <w:tblW w:w="97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2295"/>
        <w:gridCol w:w="3600"/>
        <w:gridCol w:w="2520"/>
        <w:tblGridChange w:id="0">
          <w:tblGrid>
            <w:gridCol w:w="1290"/>
            <w:gridCol w:w="2295"/>
            <w:gridCol w:w="3600"/>
            <w:gridCol w:w="2520"/>
          </w:tblGrid>
        </w:tblGridChange>
      </w:tblGrid>
      <w:tr>
        <w:trPr>
          <w:cantSplit w:val="0"/>
          <w:tblHeader w:val="0"/>
        </w:trPr>
        <w:tc>
          <w:tcPr>
            <w:vAlign w:val="top"/>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b w:val="1"/>
                <w:rtl w:val="0"/>
              </w:rPr>
              <w:t xml:space="preserve">Version</w:t>
            </w:r>
            <w:r w:rsidDel="00000000" w:rsidR="00000000" w:rsidRPr="00000000">
              <w:rPr>
                <w:rtl w:val="0"/>
              </w:rPr>
            </w:r>
          </w:p>
        </w:tc>
        <w:tc>
          <w:tcPr>
            <w:vAlign w:val="top"/>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b w:val="1"/>
                <w:rtl w:val="0"/>
              </w:rPr>
              <w:t xml:space="preserve">Verfasser</w:t>
            </w:r>
            <w:r w:rsidDel="00000000" w:rsidR="00000000" w:rsidRPr="00000000">
              <w:rPr>
                <w:rtl w:val="0"/>
              </w:rPr>
            </w:r>
          </w:p>
        </w:tc>
        <w:tc>
          <w:tcPr>
            <w:vAlign w:val="top"/>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b w:val="1"/>
                <w:rtl w:val="0"/>
              </w:rPr>
              <w:t xml:space="preserve">Änderungsbeschreibung</w:t>
            </w:r>
            <w:r w:rsidDel="00000000" w:rsidR="00000000" w:rsidRPr="00000000">
              <w:rPr>
                <w:rtl w:val="0"/>
              </w:rPr>
            </w:r>
          </w:p>
        </w:tc>
        <w:tc>
          <w:tcPr>
            <w:vAlign w:val="top"/>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b w:val="1"/>
                <w:rtl w:val="0"/>
              </w:rPr>
              <w:t xml:space="preserve">Freigabedatum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0.1</w:t>
            </w:r>
          </w:p>
        </w:tc>
        <w:tc>
          <w:tcPr>
            <w:vAlign w:val="top"/>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Lars Meise</w:t>
            </w:r>
          </w:p>
        </w:tc>
        <w:tc>
          <w:tcPr>
            <w:vAlign w:val="top"/>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Anlage und erster Entwurf</w:t>
            </w:r>
          </w:p>
        </w:tc>
        <w:tc>
          <w:tcPr>
            <w:vAlign w:val="top"/>
          </w:tcPr>
          <w:p w:rsidR="00000000" w:rsidDel="00000000" w:rsidP="00000000" w:rsidRDefault="00000000" w:rsidRPr="00000000" w14:paraId="00000013">
            <w:pPr>
              <w:jc w:val="center"/>
              <w:rPr>
                <w:rFonts w:ascii="Arial" w:cs="Arial" w:eastAsia="Arial" w:hAnsi="Arial"/>
              </w:rPr>
            </w:pPr>
            <w:r w:rsidDel="00000000" w:rsidR="00000000" w:rsidRPr="00000000">
              <w:rPr>
                <w:rFonts w:ascii="Arial" w:cs="Arial" w:eastAsia="Arial" w:hAnsi="Arial"/>
                <w:rtl w:val="0"/>
              </w:rPr>
              <w:t xml:space="preserve">25.02.2023</w:t>
            </w:r>
          </w:p>
        </w:tc>
      </w:tr>
      <w:tr>
        <w:trPr>
          <w:cantSplit w:val="0"/>
          <w:trHeight w:val="214.98046875" w:hRule="atLeast"/>
          <w:tblHeader w:val="0"/>
        </w:trPr>
        <w:tc>
          <w:tcPr>
            <w:vAlign w:val="top"/>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0.2</w:t>
            </w:r>
          </w:p>
        </w:tc>
        <w:tc>
          <w:tcPr>
            <w:vAlign w:val="top"/>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Lars Meise</w:t>
            </w:r>
          </w:p>
        </w:tc>
        <w:tc>
          <w:tcPr>
            <w:vAlign w:val="top"/>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Ergänzen von Schwachstellen</w:t>
            </w:r>
          </w:p>
        </w:tc>
        <w:tc>
          <w:tcPr>
            <w:vAlign w:val="top"/>
          </w:tcPr>
          <w:p w:rsidR="00000000" w:rsidDel="00000000" w:rsidP="00000000" w:rsidRDefault="00000000" w:rsidRPr="00000000" w14:paraId="00000017">
            <w:pPr>
              <w:jc w:val="center"/>
              <w:rPr>
                <w:rFonts w:ascii="Arial" w:cs="Arial" w:eastAsia="Arial" w:hAnsi="Arial"/>
              </w:rPr>
            </w:pPr>
            <w:r w:rsidDel="00000000" w:rsidR="00000000" w:rsidRPr="00000000">
              <w:rPr>
                <w:rFonts w:ascii="Arial" w:cs="Arial" w:eastAsia="Arial" w:hAnsi="Arial"/>
                <w:rtl w:val="0"/>
              </w:rPr>
              <w:t xml:space="preserve">13.03.2023</w:t>
            </w:r>
          </w:p>
        </w:tc>
      </w:tr>
      <w:tr>
        <w:trPr>
          <w:cantSplit w:val="0"/>
          <w:tblHeader w:val="0"/>
        </w:trPr>
        <w:tc>
          <w:tcPr>
            <w:vAlign w:val="top"/>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1.0</w:t>
            </w:r>
          </w:p>
        </w:tc>
        <w:tc>
          <w:tcPr>
            <w:vAlign w:val="top"/>
          </w:tcPr>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Lars Meise</w:t>
            </w:r>
          </w:p>
        </w:tc>
        <w:tc>
          <w:tcPr>
            <w:vAlign w:val="top"/>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Statuswechsel</w:t>
            </w:r>
          </w:p>
        </w:tc>
        <w:tc>
          <w:tcPr>
            <w:vAlign w:val="top"/>
          </w:tcPr>
          <w:p w:rsidR="00000000" w:rsidDel="00000000" w:rsidP="00000000" w:rsidRDefault="00000000" w:rsidRPr="00000000" w14:paraId="0000001B">
            <w:pPr>
              <w:jc w:val="center"/>
              <w:rPr>
                <w:rFonts w:ascii="Arial" w:cs="Arial" w:eastAsia="Arial" w:hAnsi="Arial"/>
              </w:rPr>
            </w:pPr>
            <w:r w:rsidDel="00000000" w:rsidR="00000000" w:rsidRPr="00000000">
              <w:rPr>
                <w:rFonts w:ascii="Arial" w:cs="Arial" w:eastAsia="Arial" w:hAnsi="Arial"/>
                <w:rtl w:val="0"/>
              </w:rPr>
              <w:t xml:space="preserve">13.03.2023</w:t>
            </w:r>
          </w:p>
        </w:tc>
      </w:tr>
    </w:tbl>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Ist-Analyse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Das Massenspektrometer vom Typ </w:t>
      </w:r>
      <w:r w:rsidDel="00000000" w:rsidR="00000000" w:rsidRPr="00000000">
        <w:rPr>
          <w:rFonts w:ascii="Arial" w:cs="Arial" w:eastAsia="Arial" w:hAnsi="Arial"/>
          <w:sz w:val="22"/>
          <w:szCs w:val="22"/>
          <w:rtl w:val="0"/>
        </w:rPr>
        <w:t xml:space="preserve">PrismaPro</w:t>
      </w:r>
      <w:r w:rsidDel="00000000" w:rsidR="00000000" w:rsidRPr="00000000">
        <w:rPr>
          <w:rFonts w:ascii="Arial" w:cs="Arial" w:eastAsia="Arial" w:hAnsi="Arial"/>
          <w:sz w:val="22"/>
          <w:szCs w:val="22"/>
          <w:rtl w:val="0"/>
        </w:rPr>
        <w:t xml:space="preserve"> des Herstellers Pfeiffer Vacuum wird bereits großflächig für die Restgasanalyse oder Lecksuche bei der GSI verwendet. In den bisherigen Anwendungsfällen ist es meistens ausreichend, das Spektrum des Restgases unter statischen Bedingungen zu betrachten. Durch die mitgelieferte Software PV </w:t>
      </w:r>
      <w:r w:rsidDel="00000000" w:rsidR="00000000" w:rsidRPr="00000000">
        <w:rPr>
          <w:rFonts w:ascii="Arial" w:cs="Arial" w:eastAsia="Arial" w:hAnsi="Arial"/>
          <w:sz w:val="22"/>
          <w:szCs w:val="22"/>
          <w:rtl w:val="0"/>
        </w:rPr>
        <w:t xml:space="preserve">MassSpec</w:t>
      </w:r>
      <w:r w:rsidDel="00000000" w:rsidR="00000000" w:rsidRPr="00000000">
        <w:rPr>
          <w:rFonts w:ascii="Arial" w:cs="Arial" w:eastAsia="Arial" w:hAnsi="Arial"/>
          <w:sz w:val="22"/>
          <w:szCs w:val="22"/>
          <w:rtl w:val="0"/>
        </w:rPr>
        <w:t xml:space="preserve"> ist somit nur eine Messung als Momentaufnahme möglich. Für das Projekt ist es erforderlich, das Restgasspektrum im Kontext eines variablen Hochfrequenz-Signals zu betrachten. Bei unterschiedlichen Leistungen wird ein anderes Spektrum erwartet.</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Ist-Analyse „bekannte Schwachstellen“</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Durch die Software PV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MassSpec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ist nur eine Momentaufnahme d</w:t>
      </w:r>
      <w:r w:rsidDel="00000000" w:rsidR="00000000" w:rsidRPr="00000000">
        <w:rPr>
          <w:rFonts w:ascii="Arial" w:cs="Arial" w:eastAsia="Arial" w:hAnsi="Arial"/>
          <w:sz w:val="22"/>
          <w:szCs w:val="22"/>
          <w:rtl w:val="0"/>
        </w:rPr>
        <w:t xml:space="preserve">es Spektrums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möglich.</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Erfasste Daten können nicht in eine</w:t>
      </w:r>
      <w:r w:rsidDel="00000000" w:rsidR="00000000" w:rsidRPr="00000000">
        <w:rPr>
          <w:rFonts w:ascii="Arial" w:cs="Arial" w:eastAsia="Arial" w:hAnsi="Arial"/>
          <w:sz w:val="22"/>
          <w:szCs w:val="22"/>
          <w:rtl w:val="0"/>
        </w:rPr>
        <w:t xml:space="pre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Datenbank </w:t>
      </w:r>
      <w:r w:rsidDel="00000000" w:rsidR="00000000" w:rsidRPr="00000000">
        <w:rPr>
          <w:rFonts w:ascii="Arial" w:cs="Arial" w:eastAsia="Arial" w:hAnsi="Arial"/>
          <w:sz w:val="22"/>
          <w:szCs w:val="22"/>
          <w:rtl w:val="0"/>
        </w:rPr>
        <w:t xml:space="preserve">gespeichert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werden.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Eine Zusammenführung mit anderen Daten und Sensorwerten ist nicht möglich.</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Das Massenspektrometer müsste für eine dezentrale Nutzung direkt ins GSI-LAN integriert werden. Dies kann bei fehlerhafter Bedienung zu Schäden führen.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120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6838" w:w="11906" w:orient="portrait"/>
      <w:pgMar w:bottom="1134" w:top="1134" w:left="1418"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70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7"/>
      <w:gridCol w:w="5811"/>
      <w:gridCol w:w="1701"/>
      <w:tblGridChange w:id="0">
        <w:tblGrid>
          <w:gridCol w:w="2197"/>
          <w:gridCol w:w="5811"/>
          <w:gridCol w:w="1701"/>
        </w:tblGrid>
      </w:tblGridChange>
    </w:tblGrid>
    <w:tr>
      <w:trPr>
        <w:cantSplit w:val="1"/>
        <w:trHeight w:val="280" w:hRule="atLeast"/>
        <w:tblHeader w:val="0"/>
      </w:trPr>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Restgasanalyse</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Ist-Analyse</w:t>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Seite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von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70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9"/>
      <w:gridCol w:w="1418"/>
      <w:gridCol w:w="5811"/>
      <w:gridCol w:w="1701"/>
      <w:tblGridChange w:id="0">
        <w:tblGrid>
          <w:gridCol w:w="779"/>
          <w:gridCol w:w="1418"/>
          <w:gridCol w:w="5811"/>
          <w:gridCol w:w="1701"/>
        </w:tblGrid>
      </w:tblGridChange>
    </w:tblGrid>
    <w:tr>
      <w:trPr>
        <w:cantSplit w:val="1"/>
        <w:trHeight w:val="540" w:hRule="atLeast"/>
        <w:tblHeader w:val="0"/>
      </w:trPr>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LM</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13.03.2023</w:t>
          </w:r>
          <w:r w:rsidDel="00000000" w:rsidR="00000000" w:rsidRPr="00000000">
            <w:rPr>
              <w:rtl w:val="0"/>
            </w:rPr>
          </w:r>
        </w:p>
      </w:tc>
      <w:tc>
        <w:tcPr>
          <w:vMerge w:val="restart"/>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Ist-Analyse</w:t>
          </w: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QB1</w:t>
          </w:r>
          <w:r w:rsidDel="00000000" w:rsidR="00000000" w:rsidRPr="00000000">
            <w:rPr>
              <w:rtl w:val="0"/>
            </w:rPr>
          </w:r>
        </w:p>
      </w:tc>
    </w:tr>
    <w:tr>
      <w:trPr>
        <w:cantSplit w:val="1"/>
        <w:trHeight w:val="290" w:hRule="atLeast"/>
        <w:tblHeader w:val="0"/>
      </w:trPr>
      <w:tc>
        <w:tcPr>
          <w:gridSpan w:val="2"/>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Restgasanalyse</w:t>
          </w:r>
        </w:p>
      </w:tc>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Version: </w:t>
          </w:r>
          <w:r w:rsidDel="00000000" w:rsidR="00000000" w:rsidRPr="00000000">
            <w:rPr>
              <w:rFonts w:ascii="Arial" w:cs="Arial" w:eastAsia="Arial" w:hAnsi="Arial"/>
              <w:sz w:val="16"/>
              <w:szCs w:val="16"/>
              <w:rtl w:val="0"/>
            </w:rPr>
            <w:t xml:space="preserve">1.0</w:t>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