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945"/>
        <w:tblGridChange w:id="0">
          <w:tblGrid>
            <w:gridCol w:w="2694"/>
            <w:gridCol w:w="6945"/>
          </w:tblGrid>
        </w:tblGridChange>
      </w:tblGrid>
      <w:tr>
        <w:trPr>
          <w:cantSplit w:val="0"/>
          <w:trHeight w:val="392"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Projekttitel</w:t>
            </w:r>
            <w:r w:rsidDel="00000000" w:rsidR="00000000" w:rsidRPr="00000000">
              <w:rPr>
                <w:rtl w:val="0"/>
              </w:rPr>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Restgasanalyse</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Abgeschlossen</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Verteiler</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Lars Meise, Marius Bäsler, Tobias Bittl, Andreas Junemann</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color w:val="0000ff"/>
        </w:rPr>
      </w:pPr>
      <w:r w:rsidDel="00000000" w:rsidR="00000000" w:rsidRPr="00000000">
        <w:rPr>
          <w:rFonts w:ascii="Arial" w:cs="Arial" w:eastAsia="Arial" w:hAnsi="Arial"/>
          <w:b w:val="1"/>
          <w:rtl w:val="0"/>
        </w:rPr>
        <w:t xml:space="preserve">Historie:</w:t>
      </w:r>
      <w:r w:rsidDel="00000000" w:rsidR="00000000" w:rsidRPr="00000000">
        <w:rPr>
          <w:rtl w:val="0"/>
        </w:rPr>
      </w:r>
    </w:p>
    <w:p w:rsidR="00000000" w:rsidDel="00000000" w:rsidP="00000000" w:rsidRDefault="00000000" w:rsidRPr="00000000" w14:paraId="0000000B">
      <w:pPr>
        <w:spacing w:after="120" w:lineRule="auto"/>
        <w:jc w:val="both"/>
        <w:rPr>
          <w:rFonts w:ascii="Arial" w:cs="Arial" w:eastAsia="Arial" w:hAnsi="Arial"/>
        </w:rPr>
      </w:pPr>
      <w:r w:rsidDel="00000000" w:rsidR="00000000" w:rsidRPr="00000000">
        <w:rPr>
          <w:rtl w:val="0"/>
        </w:rPr>
      </w:r>
    </w:p>
    <w:tbl>
      <w:tblPr>
        <w:tblStyle w:val="Table2"/>
        <w:tblW w:w="96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2295"/>
        <w:gridCol w:w="3600"/>
        <w:gridCol w:w="2415"/>
        <w:tblGridChange w:id="0">
          <w:tblGrid>
            <w:gridCol w:w="1290"/>
            <w:gridCol w:w="2295"/>
            <w:gridCol w:w="3600"/>
            <w:gridCol w:w="2415"/>
          </w:tblGrid>
        </w:tblGridChange>
      </w:tblGrid>
      <w:tr>
        <w:trPr>
          <w:cantSplit w:val="0"/>
          <w:tblHeader w:val="0"/>
        </w:trPr>
        <w:tc>
          <w:tcPr/>
          <w:p w:rsidR="00000000" w:rsidDel="00000000" w:rsidP="00000000" w:rsidRDefault="00000000" w:rsidRPr="00000000" w14:paraId="0000000C">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Version</w:t>
            </w:r>
          </w:p>
        </w:tc>
        <w:tc>
          <w:tcPr/>
          <w:p w:rsidR="00000000" w:rsidDel="00000000" w:rsidP="00000000" w:rsidRDefault="00000000" w:rsidRPr="00000000" w14:paraId="0000000D">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Verfasser</w:t>
            </w:r>
          </w:p>
        </w:tc>
        <w:tc>
          <w:tcPr/>
          <w:p w:rsidR="00000000" w:rsidDel="00000000" w:rsidP="00000000" w:rsidRDefault="00000000" w:rsidRPr="00000000" w14:paraId="0000000E">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Änderungsbeschreibung</w:t>
            </w:r>
          </w:p>
        </w:tc>
        <w:tc>
          <w:tcPr/>
          <w:p w:rsidR="00000000" w:rsidDel="00000000" w:rsidP="00000000" w:rsidRDefault="00000000" w:rsidRPr="00000000" w14:paraId="0000000F">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Freigabedatum</w:t>
            </w:r>
          </w:p>
        </w:tc>
      </w:tr>
      <w:tr>
        <w:trPr>
          <w:cantSplit w:val="0"/>
          <w:tblHeader w:val="0"/>
        </w:trPr>
        <w:tc>
          <w:tcPr>
            <w:vAlign w:val="center"/>
          </w:tcPr>
          <w:p w:rsidR="00000000" w:rsidDel="00000000" w:rsidP="00000000" w:rsidRDefault="00000000" w:rsidRPr="00000000" w14:paraId="00000010">
            <w:pPr>
              <w:spacing w:after="120" w:lineRule="auto"/>
              <w:jc w:val="both"/>
              <w:rPr>
                <w:rFonts w:ascii="Arial" w:cs="Arial" w:eastAsia="Arial" w:hAnsi="Arial"/>
              </w:rPr>
            </w:pPr>
            <w:r w:rsidDel="00000000" w:rsidR="00000000" w:rsidRPr="00000000">
              <w:rPr>
                <w:rFonts w:ascii="Arial" w:cs="Arial" w:eastAsia="Arial" w:hAnsi="Arial"/>
                <w:rtl w:val="0"/>
              </w:rPr>
              <w:t xml:space="preserve">0.1</w:t>
            </w:r>
          </w:p>
        </w:tc>
        <w:tc>
          <w:tcPr>
            <w:vAlign w:val="center"/>
          </w:tcPr>
          <w:p w:rsidR="00000000" w:rsidDel="00000000" w:rsidP="00000000" w:rsidRDefault="00000000" w:rsidRPr="00000000" w14:paraId="00000011">
            <w:pPr>
              <w:spacing w:after="120" w:lineRule="auto"/>
              <w:jc w:val="both"/>
              <w:rPr>
                <w:rFonts w:ascii="Arial" w:cs="Arial" w:eastAsia="Arial" w:hAnsi="Arial"/>
              </w:rPr>
            </w:pPr>
            <w:r w:rsidDel="00000000" w:rsidR="00000000" w:rsidRPr="00000000">
              <w:rPr>
                <w:rFonts w:ascii="Arial" w:cs="Arial" w:eastAsia="Arial" w:hAnsi="Arial"/>
                <w:rtl w:val="0"/>
              </w:rPr>
              <w:t xml:space="preserve">Tobias Bittl</w:t>
            </w:r>
          </w:p>
        </w:tc>
        <w:tc>
          <w:tcPr>
            <w:vAlign w:val="center"/>
          </w:tcPr>
          <w:p w:rsidR="00000000" w:rsidDel="00000000" w:rsidP="00000000" w:rsidRDefault="00000000" w:rsidRPr="00000000" w14:paraId="00000012">
            <w:pPr>
              <w:spacing w:after="120" w:lineRule="auto"/>
              <w:jc w:val="both"/>
              <w:rPr>
                <w:rFonts w:ascii="Arial" w:cs="Arial" w:eastAsia="Arial" w:hAnsi="Arial"/>
              </w:rPr>
            </w:pPr>
            <w:r w:rsidDel="00000000" w:rsidR="00000000" w:rsidRPr="00000000">
              <w:rPr>
                <w:rFonts w:ascii="Arial" w:cs="Arial" w:eastAsia="Arial" w:hAnsi="Arial"/>
                <w:rtl w:val="0"/>
              </w:rPr>
              <w:t xml:space="preserve">Anlage und erster Entwurf</w:t>
            </w:r>
          </w:p>
        </w:tc>
        <w:tc>
          <w:tcPr>
            <w:vAlign w:val="center"/>
          </w:tcPr>
          <w:p w:rsidR="00000000" w:rsidDel="00000000" w:rsidP="00000000" w:rsidRDefault="00000000" w:rsidRPr="00000000" w14:paraId="00000013">
            <w:pPr>
              <w:spacing w:after="120" w:lineRule="auto"/>
              <w:jc w:val="center"/>
              <w:rPr>
                <w:rFonts w:ascii="Arial" w:cs="Arial" w:eastAsia="Arial" w:hAnsi="Arial"/>
              </w:rPr>
            </w:pPr>
            <w:r w:rsidDel="00000000" w:rsidR="00000000" w:rsidRPr="00000000">
              <w:rPr>
                <w:rFonts w:ascii="Arial" w:cs="Arial" w:eastAsia="Arial" w:hAnsi="Arial"/>
                <w:rtl w:val="0"/>
              </w:rPr>
              <w:t xml:space="preserve">03.03.2023</w:t>
            </w:r>
          </w:p>
        </w:tc>
      </w:tr>
      <w:tr>
        <w:trPr>
          <w:cantSplit w:val="0"/>
          <w:tblHeader w:val="0"/>
        </w:trPr>
        <w:tc>
          <w:tcPr>
            <w:vAlign w:val="center"/>
          </w:tcPr>
          <w:p w:rsidR="00000000" w:rsidDel="00000000" w:rsidP="00000000" w:rsidRDefault="00000000" w:rsidRPr="00000000" w14:paraId="00000014">
            <w:pPr>
              <w:spacing w:after="120" w:lineRule="auto"/>
              <w:jc w:val="both"/>
              <w:rPr>
                <w:rFonts w:ascii="Arial" w:cs="Arial" w:eastAsia="Arial" w:hAnsi="Arial"/>
              </w:rPr>
            </w:pPr>
            <w:r w:rsidDel="00000000" w:rsidR="00000000" w:rsidRPr="00000000">
              <w:rPr>
                <w:rFonts w:ascii="Arial" w:cs="Arial" w:eastAsia="Arial" w:hAnsi="Arial"/>
                <w:rtl w:val="0"/>
              </w:rPr>
              <w:t xml:space="preserve">0.2</w:t>
            </w:r>
          </w:p>
        </w:tc>
        <w:tc>
          <w:tcPr>
            <w:vAlign w:val="center"/>
          </w:tcPr>
          <w:p w:rsidR="00000000" w:rsidDel="00000000" w:rsidP="00000000" w:rsidRDefault="00000000" w:rsidRPr="00000000" w14:paraId="00000015">
            <w:pPr>
              <w:spacing w:after="120" w:lineRule="auto"/>
              <w:jc w:val="both"/>
              <w:rPr>
                <w:rFonts w:ascii="Arial" w:cs="Arial" w:eastAsia="Arial" w:hAnsi="Arial"/>
              </w:rPr>
            </w:pPr>
            <w:r w:rsidDel="00000000" w:rsidR="00000000" w:rsidRPr="00000000">
              <w:rPr>
                <w:rFonts w:ascii="Arial" w:cs="Arial" w:eastAsia="Arial" w:hAnsi="Arial"/>
                <w:rtl w:val="0"/>
              </w:rPr>
              <w:t xml:space="preserve">Tobias Bittl</w:t>
            </w:r>
          </w:p>
        </w:tc>
        <w:tc>
          <w:tcPr>
            <w:vAlign w:val="center"/>
          </w:tcPr>
          <w:p w:rsidR="00000000" w:rsidDel="00000000" w:rsidP="00000000" w:rsidRDefault="00000000" w:rsidRPr="00000000" w14:paraId="00000016">
            <w:pPr>
              <w:spacing w:after="120" w:lineRule="auto"/>
              <w:jc w:val="both"/>
              <w:rPr>
                <w:rFonts w:ascii="Arial" w:cs="Arial" w:eastAsia="Arial" w:hAnsi="Arial"/>
              </w:rPr>
            </w:pPr>
            <w:r w:rsidDel="00000000" w:rsidR="00000000" w:rsidRPr="00000000">
              <w:rPr>
                <w:rFonts w:ascii="Arial" w:cs="Arial" w:eastAsia="Arial" w:hAnsi="Arial"/>
                <w:rtl w:val="0"/>
              </w:rPr>
              <w:t xml:space="preserve">Begründung warum Wirtschaftlichkeit nicht betrachtet werden kann</w:t>
            </w:r>
          </w:p>
        </w:tc>
        <w:tc>
          <w:tcPr>
            <w:vAlign w:val="center"/>
          </w:tcPr>
          <w:p w:rsidR="00000000" w:rsidDel="00000000" w:rsidP="00000000" w:rsidRDefault="00000000" w:rsidRPr="00000000" w14:paraId="00000017">
            <w:pPr>
              <w:spacing w:after="120" w:lineRule="auto"/>
              <w:jc w:val="center"/>
              <w:rPr>
                <w:rFonts w:ascii="Arial" w:cs="Arial" w:eastAsia="Arial" w:hAnsi="Arial"/>
              </w:rPr>
            </w:pPr>
            <w:r w:rsidDel="00000000" w:rsidR="00000000" w:rsidRPr="00000000">
              <w:rPr>
                <w:rFonts w:ascii="Arial" w:cs="Arial" w:eastAsia="Arial" w:hAnsi="Arial"/>
                <w:rtl w:val="0"/>
              </w:rPr>
              <w:t xml:space="preserve">12.03.2023</w:t>
            </w:r>
          </w:p>
        </w:tc>
      </w:tr>
      <w:tr>
        <w:trPr>
          <w:cantSplit w:val="0"/>
          <w:tblHeader w:val="0"/>
        </w:trPr>
        <w:tc>
          <w:tcPr>
            <w:vAlign w:val="center"/>
          </w:tcPr>
          <w:p w:rsidR="00000000" w:rsidDel="00000000" w:rsidP="00000000" w:rsidRDefault="00000000" w:rsidRPr="00000000" w14:paraId="00000018">
            <w:pPr>
              <w:spacing w:after="120" w:lineRule="auto"/>
              <w:jc w:val="both"/>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19">
            <w:pPr>
              <w:spacing w:after="120" w:lineRule="auto"/>
              <w:jc w:val="both"/>
              <w:rPr>
                <w:rFonts w:ascii="Arial" w:cs="Arial" w:eastAsia="Arial" w:hAnsi="Arial"/>
              </w:rPr>
            </w:pPr>
            <w:r w:rsidDel="00000000" w:rsidR="00000000" w:rsidRPr="00000000">
              <w:rPr>
                <w:rFonts w:ascii="Arial" w:cs="Arial" w:eastAsia="Arial" w:hAnsi="Arial"/>
                <w:rtl w:val="0"/>
              </w:rPr>
              <w:t xml:space="preserve">Tobias Bittl</w:t>
            </w:r>
          </w:p>
        </w:tc>
        <w:tc>
          <w:tcPr>
            <w:vAlign w:val="center"/>
          </w:tcPr>
          <w:p w:rsidR="00000000" w:rsidDel="00000000" w:rsidP="00000000" w:rsidRDefault="00000000" w:rsidRPr="00000000" w14:paraId="0000001A">
            <w:pPr>
              <w:spacing w:after="120" w:lineRule="auto"/>
              <w:jc w:val="both"/>
              <w:rPr>
                <w:rFonts w:ascii="Arial" w:cs="Arial" w:eastAsia="Arial" w:hAnsi="Arial"/>
              </w:rPr>
            </w:pPr>
            <w:r w:rsidDel="00000000" w:rsidR="00000000" w:rsidRPr="00000000">
              <w:rPr>
                <w:rFonts w:ascii="Arial" w:cs="Arial" w:eastAsia="Arial" w:hAnsi="Arial"/>
                <w:rtl w:val="0"/>
              </w:rPr>
              <w:t xml:space="preserve">Statuswechsel</w:t>
            </w:r>
          </w:p>
        </w:tc>
        <w:tc>
          <w:tcPr>
            <w:vAlign w:val="center"/>
          </w:tcPr>
          <w:p w:rsidR="00000000" w:rsidDel="00000000" w:rsidP="00000000" w:rsidRDefault="00000000" w:rsidRPr="00000000" w14:paraId="0000001B">
            <w:pPr>
              <w:spacing w:after="120" w:lineRule="auto"/>
              <w:jc w:val="center"/>
              <w:rPr>
                <w:rFonts w:ascii="Arial" w:cs="Arial" w:eastAsia="Arial" w:hAnsi="Arial"/>
              </w:rPr>
            </w:pPr>
            <w:r w:rsidDel="00000000" w:rsidR="00000000" w:rsidRPr="00000000">
              <w:rPr>
                <w:rFonts w:ascii="Arial" w:cs="Arial" w:eastAsia="Arial" w:hAnsi="Arial"/>
                <w:rtl w:val="0"/>
              </w:rPr>
              <w:t xml:space="preserve">13.03.2023</w:t>
            </w:r>
          </w:p>
        </w:tc>
      </w:tr>
    </w:tbl>
    <w:p w:rsidR="00000000" w:rsidDel="00000000" w:rsidP="00000000" w:rsidRDefault="00000000" w:rsidRPr="00000000" w14:paraId="0000001C">
      <w:pPr>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Ziel des Projektes ist die Entwicklung eines Web Frontends mit Nutzung der vorhandenen API eines Massenspektrometers. Die dabei gewonnenen Erkenntnisse geben Aufschluss über die Wechselwirkung eines Hochfrequenz-Signals mit dem vorhandenen Restgasspektrum. Eine grafische Darstellung als </w:t>
      </w:r>
      <w:r w:rsidDel="00000000" w:rsidR="00000000" w:rsidRPr="00000000">
        <w:rPr>
          <w:rFonts w:ascii="Arial" w:cs="Arial" w:eastAsia="Arial" w:hAnsi="Arial"/>
          <w:sz w:val="22"/>
          <w:szCs w:val="22"/>
          <w:rtl w:val="0"/>
        </w:rPr>
        <w:t xml:space="preserve">Zeitmessreihe</w:t>
      </w:r>
      <w:r w:rsidDel="00000000" w:rsidR="00000000" w:rsidRPr="00000000">
        <w:rPr>
          <w:rFonts w:ascii="Arial" w:cs="Arial" w:eastAsia="Arial" w:hAnsi="Arial"/>
          <w:sz w:val="22"/>
          <w:szCs w:val="22"/>
          <w:rtl w:val="0"/>
        </w:rPr>
        <w:t xml:space="preserve"> verschiedener Elemente, sowie eine Integration der Messdaten ist derzeit nicht möglich. Die Experimentatoren und Physiker erlangen somit eine neue und hilfreiche Funktionalität für Ihre Forschung. Die Gesellschaft für Schwerionenforschung (GSI) hat nicht das Ziel, Gewinn zu erwirtschaften, sondern neue Erkenntnisse und Wissen zu erlangen. Folglich dient das Projekt nicht primär der Wirtschaftlichkeit, sondern der Etablierung neuer  Forschungsmöglichkeiten. Eine Erhöhung der Profitabilität kann in einer staatlich finanzierten Einrichtung ohne Gewinnorientierung nicht bemessen werden.</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tl w:val="0"/>
        </w:rPr>
      </w:r>
    </w:p>
    <w:sectPr>
      <w:headerReference r:id="rId6" w:type="default"/>
      <w:footerReference r:id="rId7" w:type="default"/>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Wirtschaftlichkeitsanalyse</w:t>
          </w: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TB</w:t>
          </w: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13.03.2023</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Wirtschaftlichkeitsanalyse</w:t>
          </w: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QB1</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