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63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94"/>
        <w:gridCol w:w="6945"/>
        <w:tblGridChange w:id="0">
          <w:tblGrid>
            <w:gridCol w:w="2694"/>
            <w:gridCol w:w="6945"/>
          </w:tblGrid>
        </w:tblGridChange>
      </w:tblGrid>
      <w:tr>
        <w:trPr>
          <w:cantSplit w:val="0"/>
          <w:trHeight w:val="392" w:hRule="atLeast"/>
          <w:tblHeader w:val="0"/>
        </w:trPr>
        <w:tc>
          <w:tcPr>
            <w:vAlign w:val="top"/>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Projekttitel</w:t>
            </w:r>
            <w:r w:rsidDel="00000000" w:rsidR="00000000" w:rsidRPr="00000000">
              <w:rPr>
                <w:rtl w:val="0"/>
              </w:rPr>
            </w:r>
          </w:p>
        </w:tc>
        <w:tc>
          <w:tcPr>
            <w:vAlign w:val="top"/>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Restgasanalyse</w:t>
            </w:r>
            <w:r w:rsidDel="00000000" w:rsidR="00000000" w:rsidRPr="00000000">
              <w:rPr>
                <w:rtl w:val="0"/>
              </w:rPr>
            </w:r>
          </w:p>
        </w:tc>
      </w:tr>
      <w:tr>
        <w:trPr>
          <w:cantSplit w:val="0"/>
          <w:trHeight w:val="392" w:hRule="atLeast"/>
          <w:tblHeader w:val="0"/>
        </w:trPr>
        <w:tc>
          <w:tcPr>
            <w:vAlign w:val="top"/>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Status</w:t>
            </w:r>
            <w:r w:rsidDel="00000000" w:rsidR="00000000" w:rsidRPr="00000000">
              <w:rPr>
                <w:rtl w:val="0"/>
              </w:rPr>
            </w:r>
          </w:p>
        </w:tc>
        <w:tc>
          <w:tcPr>
            <w:vAlign w:val="top"/>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Abgeschlossen</w:t>
            </w:r>
            <w:r w:rsidDel="00000000" w:rsidR="00000000" w:rsidRPr="00000000">
              <w:rPr>
                <w:rtl w:val="0"/>
              </w:rPr>
            </w:r>
          </w:p>
        </w:tc>
      </w:tr>
      <w:tr>
        <w:trPr>
          <w:cantSplit w:val="0"/>
          <w:trHeight w:val="392" w:hRule="atLeast"/>
          <w:tblHeader w:val="0"/>
        </w:trPr>
        <w:tc>
          <w:tcPr>
            <w:vAlign w:val="top"/>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Verteiler</w:t>
            </w:r>
            <w:r w:rsidDel="00000000" w:rsidR="00000000" w:rsidRPr="00000000">
              <w:rPr>
                <w:rtl w:val="0"/>
              </w:rPr>
            </w:r>
          </w:p>
        </w:tc>
        <w:tc>
          <w:tcPr>
            <w:vAlign w:val="top"/>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Lars Meise, Marius Bäsler, Tobias Bittl, Andreas Junemann</w:t>
            </w:r>
          </w:p>
        </w:tc>
      </w:tr>
    </w:tbl>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0A">
      <w:pPr>
        <w:tabs>
          <w:tab w:val="center" w:leader="none" w:pos="4536"/>
          <w:tab w:val="right" w:leader="none" w:pos="9072"/>
        </w:tabs>
        <w:rPr>
          <w:rFonts w:ascii="Arial" w:cs="Arial" w:eastAsia="Arial" w:hAnsi="Arial"/>
          <w:sz w:val="24"/>
          <w:szCs w:val="24"/>
        </w:rPr>
      </w:pPr>
      <w:r w:rsidDel="00000000" w:rsidR="00000000" w:rsidRPr="00000000">
        <w:rPr>
          <w:rFonts w:ascii="Arial" w:cs="Arial" w:eastAsia="Arial" w:hAnsi="Arial"/>
          <w:b w:val="1"/>
          <w:sz w:val="24"/>
          <w:szCs w:val="24"/>
          <w:rtl w:val="0"/>
        </w:rPr>
        <w:t xml:space="preserve">Historie</w:t>
      </w:r>
      <w:r w:rsidDel="00000000" w:rsidR="00000000" w:rsidRPr="00000000">
        <w:rPr>
          <w:rtl w:val="0"/>
        </w:rPr>
      </w:r>
    </w:p>
    <w:p w:rsidR="00000000" w:rsidDel="00000000" w:rsidP="00000000" w:rsidRDefault="00000000" w:rsidRPr="00000000" w14:paraId="0000000B">
      <w:pPr>
        <w:rPr>
          <w:rFonts w:ascii="Arial" w:cs="Arial" w:eastAsia="Arial" w:hAnsi="Arial"/>
        </w:rPr>
      </w:pPr>
      <w:r w:rsidDel="00000000" w:rsidR="00000000" w:rsidRPr="00000000">
        <w:rPr>
          <w:rtl w:val="0"/>
        </w:rPr>
      </w:r>
    </w:p>
    <w:tbl>
      <w:tblPr>
        <w:tblStyle w:val="Table2"/>
        <w:tblW w:w="9348.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3"/>
        <w:gridCol w:w="2301"/>
        <w:gridCol w:w="3597"/>
        <w:gridCol w:w="2157"/>
        <w:tblGridChange w:id="0">
          <w:tblGrid>
            <w:gridCol w:w="1293"/>
            <w:gridCol w:w="2301"/>
            <w:gridCol w:w="3597"/>
            <w:gridCol w:w="2157"/>
          </w:tblGrid>
        </w:tblGridChange>
      </w:tblGrid>
      <w:tr>
        <w:trPr>
          <w:cantSplit w:val="0"/>
          <w:tblHeader w:val="0"/>
        </w:trPr>
        <w:tc>
          <w:tcPr>
            <w:vAlign w:val="top"/>
          </w:tcPr>
          <w:p w:rsidR="00000000" w:rsidDel="00000000" w:rsidP="00000000" w:rsidRDefault="00000000" w:rsidRPr="00000000" w14:paraId="0000000C">
            <w:pPr>
              <w:rPr>
                <w:rFonts w:ascii="Arial" w:cs="Arial" w:eastAsia="Arial" w:hAnsi="Arial"/>
              </w:rPr>
            </w:pPr>
            <w:r w:rsidDel="00000000" w:rsidR="00000000" w:rsidRPr="00000000">
              <w:rPr>
                <w:rFonts w:ascii="Arial" w:cs="Arial" w:eastAsia="Arial" w:hAnsi="Arial"/>
                <w:b w:val="1"/>
                <w:rtl w:val="0"/>
              </w:rPr>
              <w:t xml:space="preserve">Version</w:t>
            </w:r>
            <w:r w:rsidDel="00000000" w:rsidR="00000000" w:rsidRPr="00000000">
              <w:rPr>
                <w:rtl w:val="0"/>
              </w:rPr>
            </w:r>
          </w:p>
        </w:tc>
        <w:tc>
          <w:tcPr>
            <w:vAlign w:val="top"/>
          </w:tcPr>
          <w:p w:rsidR="00000000" w:rsidDel="00000000" w:rsidP="00000000" w:rsidRDefault="00000000" w:rsidRPr="00000000" w14:paraId="0000000D">
            <w:pPr>
              <w:rPr>
                <w:rFonts w:ascii="Arial" w:cs="Arial" w:eastAsia="Arial" w:hAnsi="Arial"/>
              </w:rPr>
            </w:pPr>
            <w:r w:rsidDel="00000000" w:rsidR="00000000" w:rsidRPr="00000000">
              <w:rPr>
                <w:rFonts w:ascii="Arial" w:cs="Arial" w:eastAsia="Arial" w:hAnsi="Arial"/>
                <w:b w:val="1"/>
                <w:rtl w:val="0"/>
              </w:rPr>
              <w:t xml:space="preserve">Verfasser</w:t>
            </w:r>
            <w:r w:rsidDel="00000000" w:rsidR="00000000" w:rsidRPr="00000000">
              <w:rPr>
                <w:rtl w:val="0"/>
              </w:rPr>
            </w:r>
          </w:p>
        </w:tc>
        <w:tc>
          <w:tcPr>
            <w:vAlign w:val="top"/>
          </w:tcPr>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b w:val="1"/>
                <w:rtl w:val="0"/>
              </w:rPr>
              <w:t xml:space="preserve">Änderungsbeschreibung</w:t>
            </w:r>
            <w:r w:rsidDel="00000000" w:rsidR="00000000" w:rsidRPr="00000000">
              <w:rPr>
                <w:rtl w:val="0"/>
              </w:rPr>
            </w:r>
          </w:p>
        </w:tc>
        <w:tc>
          <w:tcPr>
            <w:vAlign w:val="top"/>
          </w:tcPr>
          <w:p w:rsidR="00000000" w:rsidDel="00000000" w:rsidP="00000000" w:rsidRDefault="00000000" w:rsidRPr="00000000" w14:paraId="0000000F">
            <w:pPr>
              <w:rPr>
                <w:rFonts w:ascii="Arial" w:cs="Arial" w:eastAsia="Arial" w:hAnsi="Arial"/>
              </w:rPr>
            </w:pPr>
            <w:r w:rsidDel="00000000" w:rsidR="00000000" w:rsidRPr="00000000">
              <w:rPr>
                <w:rFonts w:ascii="Arial" w:cs="Arial" w:eastAsia="Arial" w:hAnsi="Arial"/>
                <w:b w:val="1"/>
                <w:rtl w:val="0"/>
              </w:rPr>
              <w:t xml:space="preserve">Freigabedatum</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rPr>
                <w:rFonts w:ascii="Arial" w:cs="Arial" w:eastAsia="Arial" w:hAnsi="Arial"/>
              </w:rPr>
            </w:pPr>
            <w:r w:rsidDel="00000000" w:rsidR="00000000" w:rsidRPr="00000000">
              <w:rPr>
                <w:rFonts w:ascii="Arial" w:cs="Arial" w:eastAsia="Arial" w:hAnsi="Arial"/>
                <w:rtl w:val="0"/>
              </w:rPr>
              <w:t xml:space="preserve">0.1</w:t>
            </w:r>
          </w:p>
        </w:tc>
        <w:tc>
          <w:tcPr>
            <w:vAlign w:val="top"/>
          </w:tcPr>
          <w:p w:rsidR="00000000" w:rsidDel="00000000" w:rsidP="00000000" w:rsidRDefault="00000000" w:rsidRPr="00000000" w14:paraId="00000011">
            <w:pPr>
              <w:rPr>
                <w:rFonts w:ascii="Arial" w:cs="Arial" w:eastAsia="Arial" w:hAnsi="Arial"/>
              </w:rPr>
            </w:pPr>
            <w:r w:rsidDel="00000000" w:rsidR="00000000" w:rsidRPr="00000000">
              <w:rPr>
                <w:rFonts w:ascii="Arial" w:cs="Arial" w:eastAsia="Arial" w:hAnsi="Arial"/>
                <w:rtl w:val="0"/>
              </w:rPr>
              <w:t xml:space="preserve">Lars Meise</w:t>
            </w:r>
          </w:p>
        </w:tc>
        <w:tc>
          <w:tcPr>
            <w:vAlign w:val="top"/>
          </w:tcPr>
          <w:p w:rsidR="00000000" w:rsidDel="00000000" w:rsidP="00000000" w:rsidRDefault="00000000" w:rsidRPr="00000000" w14:paraId="00000012">
            <w:pPr>
              <w:rPr>
                <w:rFonts w:ascii="Arial" w:cs="Arial" w:eastAsia="Arial" w:hAnsi="Arial"/>
              </w:rPr>
            </w:pPr>
            <w:r w:rsidDel="00000000" w:rsidR="00000000" w:rsidRPr="00000000">
              <w:rPr>
                <w:rFonts w:ascii="Arial" w:cs="Arial" w:eastAsia="Arial" w:hAnsi="Arial"/>
                <w:rtl w:val="0"/>
              </w:rPr>
              <w:t xml:space="preserve">Anlage und erster Entwurf</w:t>
            </w:r>
          </w:p>
        </w:tc>
        <w:tc>
          <w:tcPr>
            <w:vAlign w:val="top"/>
          </w:tcPr>
          <w:p w:rsidR="00000000" w:rsidDel="00000000" w:rsidP="00000000" w:rsidRDefault="00000000" w:rsidRPr="00000000" w14:paraId="00000013">
            <w:pPr>
              <w:jc w:val="center"/>
              <w:rPr>
                <w:rFonts w:ascii="Arial" w:cs="Arial" w:eastAsia="Arial" w:hAnsi="Arial"/>
              </w:rPr>
            </w:pPr>
            <w:r w:rsidDel="00000000" w:rsidR="00000000" w:rsidRPr="00000000">
              <w:rPr>
                <w:rFonts w:ascii="Arial" w:cs="Arial" w:eastAsia="Arial" w:hAnsi="Arial"/>
                <w:rtl w:val="0"/>
              </w:rPr>
              <w:t xml:space="preserve">25.02.2023</w:t>
            </w:r>
          </w:p>
        </w:tc>
      </w:tr>
      <w:tr>
        <w:trPr>
          <w:cantSplit w:val="0"/>
          <w:tblHeader w:val="0"/>
        </w:trPr>
        <w:tc>
          <w:tcPr>
            <w:vAlign w:val="top"/>
          </w:tcPr>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rtl w:val="0"/>
              </w:rPr>
              <w:t xml:space="preserve">1.0</w:t>
            </w:r>
          </w:p>
        </w:tc>
        <w:tc>
          <w:tcPr>
            <w:vAlign w:val="top"/>
          </w:tcPr>
          <w:p w:rsidR="00000000" w:rsidDel="00000000" w:rsidP="00000000" w:rsidRDefault="00000000" w:rsidRPr="00000000" w14:paraId="00000015">
            <w:pPr>
              <w:rPr>
                <w:rFonts w:ascii="Arial" w:cs="Arial" w:eastAsia="Arial" w:hAnsi="Arial"/>
              </w:rPr>
            </w:pPr>
            <w:r w:rsidDel="00000000" w:rsidR="00000000" w:rsidRPr="00000000">
              <w:rPr>
                <w:rFonts w:ascii="Arial" w:cs="Arial" w:eastAsia="Arial" w:hAnsi="Arial"/>
                <w:rtl w:val="0"/>
              </w:rPr>
              <w:t xml:space="preserve">Lars Meise</w:t>
            </w:r>
          </w:p>
        </w:tc>
        <w:tc>
          <w:tcPr>
            <w:vAlign w:val="top"/>
          </w:tcPr>
          <w:p w:rsidR="00000000" w:rsidDel="00000000" w:rsidP="00000000" w:rsidRDefault="00000000" w:rsidRPr="00000000" w14:paraId="00000016">
            <w:pPr>
              <w:rPr>
                <w:rFonts w:ascii="Arial" w:cs="Arial" w:eastAsia="Arial" w:hAnsi="Arial"/>
              </w:rPr>
            </w:pPr>
            <w:r w:rsidDel="00000000" w:rsidR="00000000" w:rsidRPr="00000000">
              <w:rPr>
                <w:rFonts w:ascii="Arial" w:cs="Arial" w:eastAsia="Arial" w:hAnsi="Arial"/>
                <w:rtl w:val="0"/>
              </w:rPr>
              <w:t xml:space="preserve">Statuswechsel</w:t>
            </w:r>
          </w:p>
        </w:tc>
        <w:tc>
          <w:tcPr>
            <w:vAlign w:val="top"/>
          </w:tcPr>
          <w:p w:rsidR="00000000" w:rsidDel="00000000" w:rsidP="00000000" w:rsidRDefault="00000000" w:rsidRPr="00000000" w14:paraId="00000017">
            <w:pPr>
              <w:jc w:val="center"/>
              <w:rPr>
                <w:rFonts w:ascii="Arial" w:cs="Arial" w:eastAsia="Arial" w:hAnsi="Arial"/>
              </w:rPr>
            </w:pPr>
            <w:r w:rsidDel="00000000" w:rsidR="00000000" w:rsidRPr="00000000">
              <w:rPr>
                <w:rFonts w:ascii="Arial" w:cs="Arial" w:eastAsia="Arial" w:hAnsi="Arial"/>
                <w:rtl w:val="0"/>
              </w:rPr>
              <w:t xml:space="preserve">13.03.2023</w:t>
            </w:r>
          </w:p>
        </w:tc>
      </w:tr>
      <w:tr>
        <w:trPr>
          <w:cantSplit w:val="0"/>
          <w:tblHeader w:val="0"/>
        </w:trPr>
        <w:tc>
          <w:tcPr>
            <w:vAlign w:val="top"/>
          </w:tcPr>
          <w:p w:rsidR="00000000" w:rsidDel="00000000" w:rsidP="00000000" w:rsidRDefault="00000000" w:rsidRPr="00000000" w14:paraId="00000018">
            <w:pPr>
              <w:rPr>
                <w:rFonts w:ascii="Arial" w:cs="Arial" w:eastAsia="Arial" w:hAnsi="Arial"/>
              </w:rPr>
            </w:pPr>
            <w:r w:rsidDel="00000000" w:rsidR="00000000" w:rsidRPr="00000000">
              <w:rPr>
                <w:rFonts w:ascii="Arial" w:cs="Arial" w:eastAsia="Arial" w:hAnsi="Arial"/>
                <w:rtl w:val="0"/>
              </w:rPr>
              <w:t xml:space="preserve">2.0</w:t>
            </w:r>
          </w:p>
        </w:tc>
        <w:tc>
          <w:tcPr>
            <w:vAlign w:val="top"/>
          </w:tcPr>
          <w:p w:rsidR="00000000" w:rsidDel="00000000" w:rsidP="00000000" w:rsidRDefault="00000000" w:rsidRPr="00000000" w14:paraId="00000019">
            <w:pPr>
              <w:rPr>
                <w:rFonts w:ascii="Arial" w:cs="Arial" w:eastAsia="Arial" w:hAnsi="Arial"/>
              </w:rPr>
            </w:pPr>
            <w:r w:rsidDel="00000000" w:rsidR="00000000" w:rsidRPr="00000000">
              <w:rPr>
                <w:rFonts w:ascii="Arial" w:cs="Arial" w:eastAsia="Arial" w:hAnsi="Arial"/>
                <w:rtl w:val="0"/>
              </w:rPr>
              <w:t xml:space="preserve">Lars Meise</w:t>
            </w:r>
          </w:p>
        </w:tc>
        <w:tc>
          <w:tcPr>
            <w:vAlign w:val="top"/>
          </w:tcPr>
          <w:p w:rsidR="00000000" w:rsidDel="00000000" w:rsidP="00000000" w:rsidRDefault="00000000" w:rsidRPr="00000000" w14:paraId="0000001A">
            <w:pPr>
              <w:rPr>
                <w:rFonts w:ascii="Arial" w:cs="Arial" w:eastAsia="Arial" w:hAnsi="Arial"/>
              </w:rPr>
            </w:pPr>
            <w:r w:rsidDel="00000000" w:rsidR="00000000" w:rsidRPr="00000000">
              <w:rPr>
                <w:rFonts w:ascii="Arial" w:cs="Arial" w:eastAsia="Arial" w:hAnsi="Arial"/>
                <w:rtl w:val="0"/>
              </w:rPr>
              <w:t xml:space="preserve">Überarbeitung gemäß Pflichtenheft</w:t>
            </w:r>
          </w:p>
        </w:tc>
        <w:tc>
          <w:tcPr>
            <w:vAlign w:val="top"/>
          </w:tcPr>
          <w:p w:rsidR="00000000" w:rsidDel="00000000" w:rsidP="00000000" w:rsidRDefault="00000000" w:rsidRPr="00000000" w14:paraId="0000001B">
            <w:pPr>
              <w:jc w:val="center"/>
              <w:rPr>
                <w:rFonts w:ascii="Arial" w:cs="Arial" w:eastAsia="Arial" w:hAnsi="Arial"/>
              </w:rPr>
            </w:pPr>
            <w:r w:rsidDel="00000000" w:rsidR="00000000" w:rsidRPr="00000000">
              <w:rPr>
                <w:rFonts w:ascii="Arial" w:cs="Arial" w:eastAsia="Arial" w:hAnsi="Arial"/>
                <w:rtl w:val="0"/>
              </w:rPr>
              <w:t xml:space="preserve">13.04.2023</w:t>
            </w:r>
          </w:p>
        </w:tc>
      </w:tr>
    </w:tbl>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720" w:right="0" w:hanging="360"/>
        <w:jc w:val="left"/>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Betriebsanforderungen</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numPr>
          <w:ilvl w:val="0"/>
          <w:numId w:val="7"/>
        </w:numPr>
        <w:spacing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Starten und Stoppen von Messungen erfolgt über Buttons auf dem Grafana Dashboard</w:t>
      </w:r>
    </w:p>
    <w:p w:rsidR="00000000" w:rsidDel="00000000" w:rsidP="00000000" w:rsidRDefault="00000000" w:rsidRPr="00000000" w14:paraId="00000021">
      <w:pPr>
        <w:numPr>
          <w:ilvl w:val="0"/>
          <w:numId w:val="4"/>
        </w:numPr>
        <w:spacing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Alle durchgeführten Messungen werden in der PostgreSQL Datenbank gespeichert und können über das Grafana Dashboard jederzeit abgerufen werden.</w:t>
      </w:r>
    </w:p>
    <w:p w:rsidR="00000000" w:rsidDel="00000000" w:rsidP="00000000" w:rsidRDefault="00000000" w:rsidRPr="00000000" w14:paraId="00000022">
      <w:pPr>
        <w:numPr>
          <w:ilvl w:val="0"/>
          <w:numId w:val="6"/>
        </w:numPr>
        <w:spacing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Durch die Integration in das GSI LAN ist die Benutzeroberfläche von jedem Client aus dem </w:t>
      </w:r>
      <w:r w:rsidDel="00000000" w:rsidR="00000000" w:rsidRPr="00000000">
        <w:rPr>
          <w:rFonts w:ascii="Arial" w:cs="Arial" w:eastAsia="Arial" w:hAnsi="Arial"/>
          <w:rtl w:val="0"/>
        </w:rPr>
        <w:t xml:space="preserve">Intranet</w:t>
      </w:r>
      <w:r w:rsidDel="00000000" w:rsidR="00000000" w:rsidRPr="00000000">
        <w:rPr>
          <w:rFonts w:ascii="Arial" w:cs="Arial" w:eastAsia="Arial" w:hAnsi="Arial"/>
          <w:rtl w:val="0"/>
        </w:rPr>
        <w:t xml:space="preserve"> erreichbar.</w:t>
      </w:r>
    </w:p>
    <w:p w:rsidR="00000000" w:rsidDel="00000000" w:rsidP="00000000" w:rsidRDefault="00000000" w:rsidRPr="00000000" w14:paraId="00000023">
      <w:pPr>
        <w:numPr>
          <w:ilvl w:val="0"/>
          <w:numId w:val="8"/>
        </w:numPr>
        <w:spacing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Eine Datensicherung kann über ein Backup der Postgres Datenbank realisiert werden.</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Personalanforderungen</w:t>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numPr>
          <w:ilvl w:val="0"/>
          <w:numId w:val="1"/>
        </w:numPr>
        <w:spacing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Als Nutzer kommen alle Mitarbeiter und Betreuer von </w:t>
      </w:r>
      <w:r w:rsidDel="00000000" w:rsidR="00000000" w:rsidRPr="00000000">
        <w:rPr>
          <w:rFonts w:ascii="Arial" w:cs="Arial" w:eastAsia="Arial" w:hAnsi="Arial"/>
          <w:rtl w:val="0"/>
        </w:rPr>
        <w:t xml:space="preserve">Experimentaufbauten</w:t>
      </w:r>
      <w:r w:rsidDel="00000000" w:rsidR="00000000" w:rsidRPr="00000000">
        <w:rPr>
          <w:rFonts w:ascii="Arial" w:cs="Arial" w:eastAsia="Arial" w:hAnsi="Arial"/>
          <w:rtl w:val="0"/>
        </w:rPr>
        <w:t xml:space="preserve"> mit Zugang zum Massenspektrometer in Frage.</w:t>
      </w:r>
    </w:p>
    <w:p w:rsidR="00000000" w:rsidDel="00000000" w:rsidP="00000000" w:rsidRDefault="00000000" w:rsidRPr="00000000" w14:paraId="0000002A">
      <w:pPr>
        <w:numPr>
          <w:ilvl w:val="0"/>
          <w:numId w:val="2"/>
        </w:numPr>
        <w:spacing w:line="360" w:lineRule="auto"/>
        <w:ind w:left="720" w:hanging="360"/>
        <w:rPr>
          <w:rFonts w:ascii="Arial" w:cs="Arial" w:eastAsia="Arial" w:hAnsi="Arial"/>
          <w:u w:val="none"/>
        </w:rPr>
      </w:pPr>
      <w:r w:rsidDel="00000000" w:rsidR="00000000" w:rsidRPr="00000000">
        <w:rPr>
          <w:rFonts w:ascii="Arial" w:cs="Arial" w:eastAsia="Arial" w:hAnsi="Arial"/>
          <w:rtl w:val="0"/>
        </w:rPr>
        <w:t xml:space="preserve">Für die Integration ins GSI-LAN ist die Abteilung IT-Sicherheit zu konsultieren. Es muss ein Antrag mit Begründung auf erweiterte Benutzerrechte über das GSI Ticket System gestellt und nach Freigabe das zugehörige Formular ausgefüllt werden. Nach erteilter Genehmigung kann im nächsten Schritt eine IP Adresse für das Raspberry Pi beantragt werden.</w:t>
      </w:r>
    </w:p>
    <w:p w:rsidR="00000000" w:rsidDel="00000000" w:rsidP="00000000" w:rsidRDefault="00000000" w:rsidRPr="00000000" w14:paraId="0000002B">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 w:val="left" w:leader="none" w:pos="120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E">
      <w:pPr>
        <w:widowControl w:val="0"/>
        <w:numPr>
          <w:ilvl w:val="0"/>
          <w:numId w:val="9"/>
        </w:numPr>
        <w:ind w:left="720" w:hanging="36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Richtlinien</w:t>
      </w:r>
    </w:p>
    <w:p w:rsidR="00000000" w:rsidDel="00000000" w:rsidP="00000000" w:rsidRDefault="00000000" w:rsidRPr="00000000" w14:paraId="0000002F">
      <w:pPr>
        <w:widowControl w:val="0"/>
        <w:ind w:left="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0">
      <w:pPr>
        <w:numPr>
          <w:ilvl w:val="0"/>
          <w:numId w:val="5"/>
        </w:numPr>
        <w:spacing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Es gelten die Allgemeinen Sicherheitsbestimmungen der GSI. Der Experimentierplatz wird als Abgeschlossene Elektrische Betriebsstätte (AEB) eingestuft und fällt unter den Strahlenschutzbereich.</w:t>
      </w:r>
    </w:p>
    <w:p w:rsidR="00000000" w:rsidDel="00000000" w:rsidP="00000000" w:rsidRDefault="00000000" w:rsidRPr="00000000" w14:paraId="00000031">
      <w:pPr>
        <w:numPr>
          <w:ilvl w:val="0"/>
          <w:numId w:val="3"/>
        </w:numPr>
        <w:spacing w:line="360" w:lineRule="auto"/>
        <w:ind w:left="720" w:hanging="360"/>
        <w:jc w:val="both"/>
        <w:rPr>
          <w:rFonts w:ascii="Arial" w:cs="Arial" w:eastAsia="Arial" w:hAnsi="Arial"/>
          <w:u w:val="none"/>
        </w:rPr>
      </w:pPr>
      <w:r w:rsidDel="00000000" w:rsidR="00000000" w:rsidRPr="00000000">
        <w:rPr>
          <w:rFonts w:ascii="Arial" w:cs="Arial" w:eastAsia="Arial" w:hAnsi="Arial"/>
          <w:rtl w:val="0"/>
        </w:rPr>
        <w:t xml:space="preserve">Die Richtlinien zum Datenschutz sind dem Dokument “Datenschutzanforderungen” zu entnehmen.</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headerReference r:id="rId6" w:type="default"/>
      <w:footerReference r:id="rId7" w:type="default"/>
      <w:pgSz w:h="16838" w:w="11906" w:orient="portrait"/>
      <w:pgMar w:bottom="1134" w:top="1134" w:left="1418" w:right="85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709.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97"/>
      <w:gridCol w:w="5811"/>
      <w:gridCol w:w="1701"/>
      <w:tblGridChange w:id="0">
        <w:tblGrid>
          <w:gridCol w:w="2197"/>
          <w:gridCol w:w="5811"/>
          <w:gridCol w:w="1701"/>
        </w:tblGrid>
      </w:tblGridChange>
    </w:tblGrid>
    <w:tr>
      <w:trPr>
        <w:cantSplit w:val="1"/>
        <w:trHeight w:val="280" w:hRule="atLeast"/>
        <w:tblHeader w:val="0"/>
      </w:trPr>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Restgasanalyse</w:t>
          </w:r>
        </w:p>
      </w:tc>
      <w:tc>
        <w:tcP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Betriebskonzept</w:t>
          </w:r>
          <w:r w:rsidDel="00000000" w:rsidR="00000000" w:rsidRPr="00000000">
            <w:rPr>
              <w:rtl w:val="0"/>
            </w:rPr>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Seite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von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9709.0" w:type="dxa"/>
      <w:jc w:val="left"/>
      <w:tblInd w:w="-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79"/>
      <w:gridCol w:w="1418"/>
      <w:gridCol w:w="5811"/>
      <w:gridCol w:w="1701"/>
      <w:tblGridChange w:id="0">
        <w:tblGrid>
          <w:gridCol w:w="779"/>
          <w:gridCol w:w="1418"/>
          <w:gridCol w:w="5811"/>
          <w:gridCol w:w="1701"/>
        </w:tblGrid>
      </w:tblGridChange>
    </w:tblGrid>
    <w:tr>
      <w:trPr>
        <w:cantSplit w:val="1"/>
        <w:trHeight w:val="540" w:hRule="atLeast"/>
        <w:tblHeader w:val="0"/>
      </w:trPr>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LM</w:t>
          </w:r>
        </w:p>
      </w:tc>
      <w:tc>
        <w:tcPr>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13.04.2023</w:t>
          </w:r>
          <w:r w:rsidDel="00000000" w:rsidR="00000000" w:rsidRPr="00000000">
            <w:rPr>
              <w:rtl w:val="0"/>
            </w:rPr>
          </w:r>
        </w:p>
      </w:tc>
      <w:tc>
        <w:tcPr>
          <w:vMerge w:val="restart"/>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Betriebskonzept</w:t>
          </w:r>
        </w:p>
      </w:tc>
      <w:tc>
        <w:tcPr>
          <w:vAlign w:val="center"/>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sz w:val="16"/>
              <w:szCs w:val="16"/>
              <w:rtl w:val="0"/>
            </w:rPr>
            <w:t xml:space="preserve">QB2</w:t>
          </w:r>
          <w:r w:rsidDel="00000000" w:rsidR="00000000" w:rsidRPr="00000000">
            <w:rPr>
              <w:rtl w:val="0"/>
            </w:rPr>
          </w:r>
        </w:p>
      </w:tc>
    </w:tr>
    <w:tr>
      <w:trPr>
        <w:cantSplit w:val="1"/>
        <w:trHeight w:val="290" w:hRule="atLeast"/>
        <w:tblHeader w:val="0"/>
      </w:trPr>
      <w:tc>
        <w:tcPr>
          <w:gridSpan w:val="2"/>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Restgasanalyse</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Version: </w:t>
          </w:r>
          <w:r w:rsidDel="00000000" w:rsidR="00000000" w:rsidRPr="00000000">
            <w:rPr>
              <w:rFonts w:ascii="Arial" w:cs="Arial" w:eastAsia="Arial" w:hAnsi="Arial"/>
              <w:sz w:val="16"/>
              <w:szCs w:val="16"/>
              <w:rtl w:val="0"/>
            </w:rPr>
            <w:t xml:space="preserve">2</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sz w:val="16"/>
              <w:szCs w:val="16"/>
              <w:rtl w:val="0"/>
            </w:rPr>
            <w:t xml:space="preserve">0</w:t>
          </w:r>
          <w:r w:rsidDel="00000000" w:rsidR="00000000" w:rsidRPr="00000000">
            <w:rPr>
              <w:rtl w:val="0"/>
            </w:rPr>
          </w:r>
        </w:p>
      </w:tc>
    </w:tr>
  </w:tbl>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de-DE"/>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