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945"/>
        <w:tblGridChange w:id="0">
          <w:tblGrid>
            <w:gridCol w:w="2694"/>
            <w:gridCol w:w="6945"/>
          </w:tblGrid>
        </w:tblGridChange>
      </w:tblGrid>
      <w:tr>
        <w:trPr>
          <w:cantSplit w:val="0"/>
          <w:trHeight w:val="392" w:hRule="atLeast"/>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Projekttitel</w:t>
            </w:r>
            <w:r w:rsidDel="00000000" w:rsidR="00000000" w:rsidRPr="00000000">
              <w:rPr>
                <w:rtl w:val="0"/>
              </w:rPr>
            </w:r>
          </w:p>
        </w:tc>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Restgasanalyse</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highlight w:val="white"/>
                <w:rtl w:val="0"/>
              </w:rPr>
              <w:t xml:space="preserve">Abgeschlossen</w:t>
            </w:r>
            <w:r w:rsidDel="00000000" w:rsidR="00000000" w:rsidRPr="00000000">
              <w:rPr>
                <w:rtl w:val="0"/>
              </w:rPr>
            </w:r>
          </w:p>
        </w:tc>
      </w:tr>
      <w:tr>
        <w:trPr>
          <w:cantSplit w:val="1"/>
          <w:trHeight w:val="392" w:hRule="atLeast"/>
          <w:tblHeader w:val="0"/>
        </w:trPr>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Verteiler</w:t>
            </w:r>
            <w:r w:rsidDel="00000000" w:rsidR="00000000" w:rsidRPr="00000000">
              <w:rPr>
                <w:rtl w:val="0"/>
              </w:rPr>
            </w:r>
          </w:p>
        </w:tc>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Lars Meise, Marius Bäsler, Tobias Bittl, Andreas Junemann</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spacing w:after="120" w:lineRule="auto"/>
        <w:jc w:val="both"/>
        <w:rPr>
          <w:rFonts w:ascii="Arial" w:cs="Arial" w:eastAsia="Arial" w:hAnsi="Arial"/>
        </w:rPr>
      </w:pPr>
      <w:r w:rsidDel="00000000" w:rsidR="00000000" w:rsidRPr="00000000">
        <w:rPr>
          <w:rtl w:val="0"/>
        </w:rPr>
      </w:r>
    </w:p>
    <w:tbl>
      <w:tblPr>
        <w:tblStyle w:val="Table2"/>
        <w:tblW w:w="93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2301"/>
        <w:gridCol w:w="3597"/>
        <w:gridCol w:w="2157"/>
        <w:tblGridChange w:id="0">
          <w:tblGrid>
            <w:gridCol w:w="1293"/>
            <w:gridCol w:w="2301"/>
            <w:gridCol w:w="3597"/>
            <w:gridCol w:w="2157"/>
          </w:tblGrid>
        </w:tblGridChange>
      </w:tblGrid>
      <w:tr>
        <w:trPr>
          <w:cantSplit w:val="0"/>
          <w:tblHeader w:val="0"/>
        </w:trPr>
        <w:tc>
          <w:tcPr/>
          <w:p w:rsidR="00000000" w:rsidDel="00000000" w:rsidP="00000000" w:rsidRDefault="00000000" w:rsidRPr="00000000" w14:paraId="0000000A">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Version</w:t>
            </w:r>
          </w:p>
        </w:tc>
        <w:tc>
          <w:tcPr/>
          <w:p w:rsidR="00000000" w:rsidDel="00000000" w:rsidP="00000000" w:rsidRDefault="00000000" w:rsidRPr="00000000" w14:paraId="0000000B">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Verfasser</w:t>
            </w:r>
          </w:p>
        </w:tc>
        <w:tc>
          <w:tcPr/>
          <w:p w:rsidR="00000000" w:rsidDel="00000000" w:rsidP="00000000" w:rsidRDefault="00000000" w:rsidRPr="00000000" w14:paraId="0000000C">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Änderungsbeschreibung</w:t>
            </w:r>
          </w:p>
        </w:tc>
        <w:tc>
          <w:tcPr/>
          <w:p w:rsidR="00000000" w:rsidDel="00000000" w:rsidP="00000000" w:rsidRDefault="00000000" w:rsidRPr="00000000" w14:paraId="0000000D">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Freigabedatum</w:t>
            </w:r>
          </w:p>
        </w:tc>
      </w:tr>
      <w:tr>
        <w:trPr>
          <w:cantSplit w:val="0"/>
          <w:tblHeader w:val="0"/>
        </w:trPr>
        <w:tc>
          <w:tcPr>
            <w:vAlign w:val="center"/>
          </w:tcPr>
          <w:p w:rsidR="00000000" w:rsidDel="00000000" w:rsidP="00000000" w:rsidRDefault="00000000" w:rsidRPr="00000000" w14:paraId="0000000E">
            <w:pPr>
              <w:spacing w:after="120" w:lineRule="auto"/>
              <w:jc w:val="both"/>
              <w:rPr>
                <w:rFonts w:ascii="Arial" w:cs="Arial" w:eastAsia="Arial" w:hAnsi="Arial"/>
              </w:rPr>
            </w:pPr>
            <w:r w:rsidDel="00000000" w:rsidR="00000000" w:rsidRPr="00000000">
              <w:rPr>
                <w:rFonts w:ascii="Arial" w:cs="Arial" w:eastAsia="Arial" w:hAnsi="Arial"/>
                <w:rtl w:val="0"/>
              </w:rPr>
              <w:t xml:space="preserve">0.1</w:t>
            </w:r>
            <w:r w:rsidDel="00000000" w:rsidR="00000000" w:rsidRPr="00000000">
              <w:rPr>
                <w:rtl w:val="0"/>
              </w:rPr>
            </w:r>
          </w:p>
        </w:tc>
        <w:tc>
          <w:tcPr>
            <w:vAlign w:val="center"/>
          </w:tcPr>
          <w:p w:rsidR="00000000" w:rsidDel="00000000" w:rsidP="00000000" w:rsidRDefault="00000000" w:rsidRPr="00000000" w14:paraId="0000000F">
            <w:pPr>
              <w:spacing w:after="120" w:lineRule="auto"/>
              <w:jc w:val="both"/>
              <w:rPr>
                <w:rFonts w:ascii="Arial" w:cs="Arial" w:eastAsia="Arial" w:hAnsi="Arial"/>
              </w:rPr>
            </w:pPr>
            <w:r w:rsidDel="00000000" w:rsidR="00000000" w:rsidRPr="00000000">
              <w:rPr>
                <w:rFonts w:ascii="Arial" w:cs="Arial" w:eastAsia="Arial" w:hAnsi="Arial"/>
                <w:rtl w:val="0"/>
              </w:rPr>
              <w:t xml:space="preserve">Marius Bäsler</w:t>
            </w:r>
          </w:p>
        </w:tc>
        <w:tc>
          <w:tcPr>
            <w:vAlign w:val="center"/>
          </w:tcPr>
          <w:p w:rsidR="00000000" w:rsidDel="00000000" w:rsidP="00000000" w:rsidRDefault="00000000" w:rsidRPr="00000000" w14:paraId="00000010">
            <w:pPr>
              <w:spacing w:after="120" w:lineRule="auto"/>
              <w:jc w:val="both"/>
              <w:rPr>
                <w:rFonts w:ascii="Arial" w:cs="Arial" w:eastAsia="Arial" w:hAnsi="Arial"/>
              </w:rPr>
            </w:pPr>
            <w:r w:rsidDel="00000000" w:rsidR="00000000" w:rsidRPr="00000000">
              <w:rPr>
                <w:rFonts w:ascii="Arial" w:cs="Arial" w:eastAsia="Arial" w:hAnsi="Arial"/>
                <w:rtl w:val="0"/>
              </w:rPr>
              <w:t xml:space="preserve">Anlage und erster Entwurf</w:t>
            </w:r>
          </w:p>
        </w:tc>
        <w:tc>
          <w:tcPr>
            <w:vAlign w:val="center"/>
          </w:tcPr>
          <w:p w:rsidR="00000000" w:rsidDel="00000000" w:rsidP="00000000" w:rsidRDefault="00000000" w:rsidRPr="00000000" w14:paraId="00000011">
            <w:pPr>
              <w:spacing w:after="120" w:lineRule="auto"/>
              <w:jc w:val="center"/>
              <w:rPr>
                <w:rFonts w:ascii="Arial" w:cs="Arial" w:eastAsia="Arial" w:hAnsi="Arial"/>
              </w:rPr>
            </w:pPr>
            <w:r w:rsidDel="00000000" w:rsidR="00000000" w:rsidRPr="00000000">
              <w:rPr>
                <w:rFonts w:ascii="Arial" w:cs="Arial" w:eastAsia="Arial" w:hAnsi="Arial"/>
                <w:rtl w:val="0"/>
              </w:rPr>
              <w:t xml:space="preserve">02.04.2023</w:t>
            </w:r>
          </w:p>
        </w:tc>
      </w:tr>
      <w:tr>
        <w:trPr>
          <w:cantSplit w:val="0"/>
          <w:tblHeader w:val="0"/>
        </w:trPr>
        <w:tc>
          <w:tcPr>
            <w:vAlign w:val="center"/>
          </w:tcPr>
          <w:p w:rsidR="00000000" w:rsidDel="00000000" w:rsidP="00000000" w:rsidRDefault="00000000" w:rsidRPr="00000000" w14:paraId="00000012">
            <w:pPr>
              <w:spacing w:after="120" w:lineRule="auto"/>
              <w:jc w:val="both"/>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013">
            <w:pPr>
              <w:spacing w:after="120" w:lineRule="auto"/>
              <w:jc w:val="both"/>
              <w:rPr>
                <w:rFonts w:ascii="Arial" w:cs="Arial" w:eastAsia="Arial" w:hAnsi="Arial"/>
              </w:rPr>
            </w:pPr>
            <w:r w:rsidDel="00000000" w:rsidR="00000000" w:rsidRPr="00000000">
              <w:rPr>
                <w:rFonts w:ascii="Arial" w:cs="Arial" w:eastAsia="Arial" w:hAnsi="Arial"/>
                <w:rtl w:val="0"/>
              </w:rPr>
              <w:t xml:space="preserve">Marius Bäsler</w:t>
            </w:r>
          </w:p>
        </w:tc>
        <w:tc>
          <w:tcPr>
            <w:vAlign w:val="center"/>
          </w:tcPr>
          <w:p w:rsidR="00000000" w:rsidDel="00000000" w:rsidP="00000000" w:rsidRDefault="00000000" w:rsidRPr="00000000" w14:paraId="00000014">
            <w:pPr>
              <w:spacing w:after="120" w:lineRule="auto"/>
              <w:jc w:val="both"/>
              <w:rPr>
                <w:rFonts w:ascii="Arial" w:cs="Arial" w:eastAsia="Arial" w:hAnsi="Arial"/>
              </w:rPr>
            </w:pPr>
            <w:r w:rsidDel="00000000" w:rsidR="00000000" w:rsidRPr="00000000">
              <w:rPr>
                <w:rFonts w:ascii="Arial" w:cs="Arial" w:eastAsia="Arial" w:hAnsi="Arial"/>
                <w:rtl w:val="0"/>
              </w:rPr>
              <w:t xml:space="preserve">Statuswechsel</w:t>
            </w:r>
          </w:p>
        </w:tc>
        <w:tc>
          <w:tcPr>
            <w:vAlign w:val="center"/>
          </w:tcPr>
          <w:p w:rsidR="00000000" w:rsidDel="00000000" w:rsidP="00000000" w:rsidRDefault="00000000" w:rsidRPr="00000000" w14:paraId="00000015">
            <w:pPr>
              <w:spacing w:after="120" w:lineRule="auto"/>
              <w:jc w:val="center"/>
              <w:rPr>
                <w:rFonts w:ascii="Arial" w:cs="Arial" w:eastAsia="Arial" w:hAnsi="Arial"/>
              </w:rPr>
            </w:pPr>
            <w:r w:rsidDel="00000000" w:rsidR="00000000" w:rsidRPr="00000000">
              <w:rPr>
                <w:rFonts w:ascii="Arial" w:cs="Arial" w:eastAsia="Arial" w:hAnsi="Arial"/>
                <w:rtl w:val="0"/>
              </w:rPr>
              <w:t xml:space="preserve">05.04.2023</w:t>
            </w:r>
          </w:p>
        </w:tc>
      </w:tr>
    </w:tbl>
    <w:p w:rsidR="00000000" w:rsidDel="00000000" w:rsidP="00000000" w:rsidRDefault="00000000" w:rsidRPr="00000000" w14:paraId="00000016">
      <w:pPr>
        <w:spacing w:after="120" w:lineRule="auto"/>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1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Voraussetzungen</w:t>
      </w:r>
    </w:p>
    <w:p w:rsidR="00000000" w:rsidDel="00000000" w:rsidP="00000000" w:rsidRDefault="00000000" w:rsidRPr="00000000" w14:paraId="0000001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Erfolgreiche Umsetzung des Projekts und weiterhin bestehender Bedarf der Lösung seitens GSI.</w:t>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keepNext w:val="1"/>
        <w:numPr>
          <w:ilvl w:val="0"/>
          <w:numId w:val="2"/>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Migration Altdaten</w:t>
      </w:r>
    </w:p>
    <w:p w:rsidR="00000000" w:rsidDel="00000000" w:rsidP="00000000" w:rsidRDefault="00000000" w:rsidRPr="00000000" w14:paraId="0000001B">
      <w:pPr>
        <w:keepNext w:val="1"/>
        <w:numPr>
          <w:ilvl w:val="0"/>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Die während des Testbetriebs gesammelten Daten können via Postgres shell exportiert werden: </w:t>
      </w:r>
      <w:r w:rsidDel="00000000" w:rsidR="00000000" w:rsidRPr="00000000">
        <w:rPr>
          <w:rFonts w:ascii="Courier New" w:cs="Courier New" w:eastAsia="Courier New" w:hAnsi="Courier New"/>
          <w:i w:val="1"/>
          <w:sz w:val="22"/>
          <w:szCs w:val="22"/>
          <w:rtl w:val="0"/>
        </w:rPr>
        <w:t xml:space="preserve">pg_dump database_name &gt; database_name_20230405.sql</w:t>
      </w:r>
    </w:p>
    <w:p w:rsidR="00000000" w:rsidDel="00000000" w:rsidP="00000000" w:rsidRDefault="00000000" w:rsidRPr="00000000" w14:paraId="0000001C">
      <w:pPr>
        <w:keepNext w:val="1"/>
        <w:numPr>
          <w:ilvl w:val="0"/>
          <w:numId w:val="3"/>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Auf dem Produktivsystem kann die alte Datenbank dann via:</w:t>
        <w:br w:type="textWrapping"/>
      </w:r>
      <w:r w:rsidDel="00000000" w:rsidR="00000000" w:rsidRPr="00000000">
        <w:rPr>
          <w:rFonts w:ascii="Courier New" w:cs="Courier New" w:eastAsia="Courier New" w:hAnsi="Courier New"/>
          <w:i w:val="1"/>
          <w:sz w:val="22"/>
          <w:szCs w:val="22"/>
          <w:rtl w:val="0"/>
        </w:rPr>
        <w:t xml:space="preserve">psql database_name &lt; database_name_20230405.sql</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Arial" w:cs="Arial" w:eastAsia="Arial" w:hAnsi="Arial"/>
          <w:sz w:val="22"/>
          <w:szCs w:val="22"/>
          <w:rtl w:val="0"/>
        </w:rPr>
        <w:t xml:space="preserve">eingespielt werden</w:t>
      </w:r>
    </w:p>
    <w:p w:rsidR="00000000" w:rsidDel="00000000" w:rsidP="00000000" w:rsidRDefault="00000000" w:rsidRPr="00000000" w14:paraId="0000001D">
      <w:pPr>
        <w:keepNext w:val="1"/>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Installation</w:t>
      </w:r>
    </w:p>
    <w:p w:rsidR="00000000" w:rsidDel="00000000" w:rsidP="00000000" w:rsidRDefault="00000000" w:rsidRPr="00000000" w14:paraId="0000001F">
      <w:pPr>
        <w:keepNext w:val="1"/>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Zuerst wird wie gewöhnlich Raspberry Pi OS Lite auf die SD-Karte übertragen und der ssh-Zugang hergestellt.</w:t>
      </w:r>
    </w:p>
    <w:p w:rsidR="00000000" w:rsidDel="00000000" w:rsidP="00000000" w:rsidRDefault="00000000" w:rsidRPr="00000000" w14:paraId="00000020">
      <w:pPr>
        <w:keepNext w:val="1"/>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Anschließend werden postgres und Grafana über apt installiert und das Git-Repository, das den Python Code enthält, geklont.</w:t>
      </w:r>
    </w:p>
    <w:p w:rsidR="00000000" w:rsidDel="00000000" w:rsidP="00000000" w:rsidRDefault="00000000" w:rsidRPr="00000000" w14:paraId="00000021">
      <w:pPr>
        <w:keepNext w:val="1"/>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Danach wird eine Python virtual environment erstellt und aktiviert und die Abhängigkeiten über </w:t>
      </w:r>
      <w:r w:rsidDel="00000000" w:rsidR="00000000" w:rsidRPr="00000000">
        <w:rPr>
          <w:rFonts w:ascii="Courier New" w:cs="Courier New" w:eastAsia="Courier New" w:hAnsi="Courier New"/>
          <w:i w:val="1"/>
          <w:sz w:val="22"/>
          <w:szCs w:val="22"/>
          <w:rtl w:val="0"/>
        </w:rPr>
        <w:t xml:space="preserve">pip install -r requirements.txt</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Arial" w:cs="Arial" w:eastAsia="Arial" w:hAnsi="Arial"/>
          <w:sz w:val="22"/>
          <w:szCs w:val="22"/>
          <w:rtl w:val="0"/>
        </w:rPr>
        <w:t xml:space="preserve">installiert.</w:t>
      </w:r>
    </w:p>
    <w:p w:rsidR="00000000" w:rsidDel="00000000" w:rsidP="00000000" w:rsidRDefault="00000000" w:rsidRPr="00000000" w14:paraId="00000022">
      <w:pPr>
        <w:keepNext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Abnahme</w:t>
      </w:r>
    </w:p>
    <w:p w:rsidR="00000000" w:rsidDel="00000000" w:rsidP="00000000" w:rsidRDefault="00000000" w:rsidRPr="00000000" w14:paraId="00000024">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Die Abnahme erfolgt nach dem Testplan.</w:t>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Durchführung der Schulungen</w:t>
      </w:r>
    </w:p>
    <w:p w:rsidR="00000000" w:rsidDel="00000000" w:rsidP="00000000" w:rsidRDefault="00000000" w:rsidRPr="00000000" w14:paraId="00000027">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Benutzer der Software am GSI werden vom Projektleiter persönlich in die Verwendung eingeführt. Da die Bedienung sie auf den Aufruf einer Webseite und einfachste GUI Elemente beschränkt, fällt der Schulungsbedarf extrem gering aus.</w:t>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Veränderung des Messprozesses</w:t>
      </w:r>
    </w:p>
    <w:p w:rsidR="00000000" w:rsidDel="00000000" w:rsidP="00000000" w:rsidRDefault="00000000" w:rsidRPr="00000000" w14:paraId="000000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Zukunft werden die Werte des Massenspektrometers in Echtzeit vor der Teilchenbeschleunigung eingesehen</w:t>
      </w:r>
      <w:r w:rsidDel="00000000" w:rsidR="00000000" w:rsidRPr="00000000">
        <w:rPr>
          <w:rtl w:val="0"/>
        </w:rPr>
      </w:r>
    </w:p>
    <w:sectPr>
      <w:headerReference r:id="rId6" w:type="default"/>
      <w:footerReference r:id="rId7" w:type="default"/>
      <w:pgSz w:h="16838" w:w="11906" w:orient="portrait"/>
      <w:pgMar w:bottom="1134"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Shadows Into Light">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5811"/>
      <w:gridCol w:w="1701"/>
      <w:tblGridChange w:id="0">
        <w:tblGrid>
          <w:gridCol w:w="2197"/>
          <w:gridCol w:w="5811"/>
          <w:gridCol w:w="1701"/>
        </w:tblGrid>
      </w:tblGridChange>
    </w:tblGrid>
    <w:tr>
      <w:trPr>
        <w:cantSplit w:val="1"/>
        <w:trHeight w:val="280" w:hRule="atLeast"/>
        <w:tblHeader w:val="0"/>
      </w:trPr>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Restgasanalyse</w:t>
          </w:r>
          <w:r w:rsidDel="00000000" w:rsidR="00000000" w:rsidRPr="00000000">
            <w:rPr>
              <w:rtl w:val="0"/>
            </w:rPr>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Migrationsplan</w:t>
          </w: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Seite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von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418"/>
      <w:gridCol w:w="5811"/>
      <w:gridCol w:w="1701"/>
      <w:tblGridChange w:id="0">
        <w:tblGrid>
          <w:gridCol w:w="779"/>
          <w:gridCol w:w="1418"/>
          <w:gridCol w:w="5811"/>
          <w:gridCol w:w="1701"/>
        </w:tblGrid>
      </w:tblGridChange>
    </w:tblGrid>
    <w:tr>
      <w:trPr>
        <w:cantSplit w:val="1"/>
        <w:trHeight w:val="540" w:hRule="atLeast"/>
        <w:tblHeader w:val="0"/>
      </w:trPr>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MB</w:t>
          </w: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05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r w:rsidDel="00000000" w:rsidR="00000000" w:rsidRPr="00000000">
            <w:rPr>
              <w:rFonts w:ascii="Arial" w:cs="Arial" w:eastAsia="Arial" w:hAnsi="Arial"/>
              <w:sz w:val="16"/>
              <w:szCs w:val="16"/>
              <w:rtl w:val="0"/>
            </w:rPr>
            <w:t xml:space="preserve">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c>
        <w:tcPr>
          <w:vMerge w:val="restart"/>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Migrationsplan</w:t>
          </w: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QB</w:t>
          </w:r>
          <w:r w:rsidDel="00000000" w:rsidR="00000000" w:rsidRPr="00000000">
            <w:rPr>
              <w:rFonts w:ascii="Arial" w:cs="Arial" w:eastAsia="Arial" w:hAnsi="Arial"/>
              <w:sz w:val="16"/>
              <w:szCs w:val="16"/>
              <w:rtl w:val="0"/>
            </w:rPr>
            <w:t xml:space="preserve">2</w:t>
          </w:r>
          <w:r w:rsidDel="00000000" w:rsidR="00000000" w:rsidRPr="00000000">
            <w:rPr>
              <w:rtl w:val="0"/>
            </w:rPr>
          </w:r>
        </w:p>
      </w:tc>
    </w:tr>
    <w:tr>
      <w:trPr>
        <w:cantSplit w:val="1"/>
        <w:trHeight w:val="290" w:hRule="atLeast"/>
        <w:tblHeader w:val="0"/>
      </w:trPr>
      <w:tc>
        <w:tcPr>
          <w:gridSpan w:val="2"/>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Restgasanalyse</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hadows Into Light" w:cs="Shadows Into Light" w:eastAsia="Shadows Into Light" w:hAnsi="Shadows Into Light"/>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1.0</w:t>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hadowsIntoLigh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