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Abgeschlossen</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Historie</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934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vAlign w:val="top"/>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Verfasser</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Änderungsbeschreibung</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Freigabedatum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0.1</w:t>
            </w:r>
          </w:p>
        </w:tc>
        <w:tc>
          <w:tcPr>
            <w:vAlign w:val="top"/>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top"/>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13.04.2023</w:t>
            </w:r>
          </w:p>
        </w:tc>
      </w:tr>
      <w:tr>
        <w:trPr>
          <w:cantSplit w:val="0"/>
          <w:tblHeader w:val="0"/>
        </w:trPr>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Lars Meise</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Statuswechsel</w:t>
            </w:r>
          </w:p>
        </w:tc>
        <w:tc>
          <w:tcPr>
            <w:vAlign w:val="top"/>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14.04.2023</w:t>
            </w:r>
          </w:p>
        </w:tc>
      </w:tr>
    </w:tbl>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1"/>
        <w:tabs>
          <w:tab w:val="center" w:leader="none" w:pos="4536"/>
          <w:tab w:val="right" w:leader="none" w:pos="9072"/>
        </w:tabs>
        <w:rPr>
          <w:rFonts w:ascii="Arial" w:cs="Arial" w:eastAsia="Arial" w:hAnsi="Arial"/>
          <w:sz w:val="28"/>
          <w:szCs w:val="28"/>
        </w:rPr>
      </w:pPr>
      <w:bookmarkStart w:colFirst="0" w:colLast="0" w:name="_t86ml8hcre57" w:id="0"/>
      <w:bookmarkEnd w:id="0"/>
      <w:r w:rsidDel="00000000" w:rsidR="00000000" w:rsidRPr="00000000">
        <w:rPr>
          <w:rFonts w:ascii="Arial" w:cs="Arial" w:eastAsia="Arial" w:hAnsi="Arial"/>
          <w:sz w:val="28"/>
          <w:szCs w:val="28"/>
          <w:rtl w:val="0"/>
        </w:rPr>
        <w:t xml:space="preserve">Absicherung des Systems</w:t>
      </w:r>
    </w:p>
    <w:p w:rsidR="00000000" w:rsidDel="00000000" w:rsidP="00000000" w:rsidRDefault="00000000" w:rsidRPr="00000000" w14:paraId="0000001A">
      <w:pPr>
        <w:tabs>
          <w:tab w:val="center" w:leader="none" w:pos="4536"/>
          <w:tab w:val="right" w:leader="none" w:pos="907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Die Verfügbarkeit der Software beschränkt sich auf definierte Messzeiten während dem </w:t>
      </w:r>
      <w:r w:rsidDel="00000000" w:rsidR="00000000" w:rsidRPr="00000000">
        <w:rPr>
          <w:rFonts w:ascii="Arial" w:cs="Arial" w:eastAsia="Arial" w:hAnsi="Arial"/>
          <w:sz w:val="22"/>
          <w:szCs w:val="22"/>
          <w:rtl w:val="0"/>
        </w:rPr>
        <w:t xml:space="preserve">Experimentierbetrieb</w:t>
      </w:r>
      <w:r w:rsidDel="00000000" w:rsidR="00000000" w:rsidRPr="00000000">
        <w:rPr>
          <w:rFonts w:ascii="Arial" w:cs="Arial" w:eastAsia="Arial" w:hAnsi="Arial"/>
          <w:sz w:val="22"/>
          <w:szCs w:val="22"/>
          <w:rtl w:val="0"/>
        </w:rPr>
        <w:t xml:space="preserve"> oder zum Testen von Komponenten eines Experimentaufbaus. Eine ständige Verfügbarkeit muss somit nur während der Messdauer garantiert werden. Darüber Hinaus werden folgende Maßnahmen zur einhaltung von IT-Sicherheitsrichtlinien getroffen:</w:t>
      </w:r>
    </w:p>
    <w:p w:rsidR="00000000" w:rsidDel="00000000" w:rsidP="00000000" w:rsidRDefault="00000000" w:rsidRPr="00000000" w14:paraId="0000001B">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numPr>
          <w:ilvl w:val="0"/>
          <w:numId w:val="1"/>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Automatische Updates über das Debian-Paket unattended-upgrades</w:t>
      </w:r>
    </w:p>
    <w:p w:rsidR="00000000" w:rsidDel="00000000" w:rsidP="00000000" w:rsidRDefault="00000000" w:rsidRPr="00000000" w14:paraId="0000001D">
      <w:pPr>
        <w:numPr>
          <w:ilvl w:val="0"/>
          <w:numId w:val="1"/>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Möglichkeit zur manuellen Datensicherung über Backups der PostgreSQL Datenbank</w:t>
      </w:r>
    </w:p>
    <w:p w:rsidR="00000000" w:rsidDel="00000000" w:rsidP="00000000" w:rsidRDefault="00000000" w:rsidRPr="00000000" w14:paraId="0000001E">
      <w:pPr>
        <w:tabs>
          <w:tab w:val="center" w:leader="none" w:pos="4536"/>
          <w:tab w:val="right" w:leader="none" w:pos="9072"/>
        </w:tabs>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tabs>
          <w:tab w:val="center" w:leader="none" w:pos="4536"/>
          <w:tab w:val="right" w:leader="none" w:pos="9072"/>
        </w:tabs>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tabs>
          <w:tab w:val="center" w:leader="none" w:pos="4536"/>
          <w:tab w:val="right" w:leader="none" w:pos="9072"/>
        </w:tabs>
        <w:jc w:val="both"/>
        <w:rPr>
          <w:rFonts w:ascii="Arial" w:cs="Arial" w:eastAsia="Arial" w:hAnsi="Arial"/>
          <w:sz w:val="22"/>
          <w:szCs w:val="22"/>
          <w:vertAlign w:val="baseline"/>
        </w:rPr>
      </w:pPr>
      <w:r w:rsidDel="00000000" w:rsidR="00000000" w:rsidRPr="00000000">
        <w:rPr>
          <w:rFonts w:ascii="Arial" w:cs="Arial" w:eastAsia="Arial" w:hAnsi="Arial"/>
          <w:b w:val="1"/>
          <w:sz w:val="28"/>
          <w:szCs w:val="28"/>
          <w:rtl w:val="0"/>
        </w:rPr>
        <w:t xml:space="preserve">Notfall/Notbetrieb</w:t>
      </w:r>
      <w:r w:rsidDel="00000000" w:rsidR="00000000" w:rsidRPr="00000000">
        <w:rPr>
          <w:rtl w:val="0"/>
        </w:rPr>
      </w:r>
    </w:p>
    <w:p w:rsidR="00000000" w:rsidDel="00000000" w:rsidP="00000000" w:rsidRDefault="00000000" w:rsidRPr="00000000" w14:paraId="0000002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tabs>
          <w:tab w:val="center" w:leader="none" w:pos="4536"/>
          <w:tab w:val="right" w:leader="none" w:pos="9072"/>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 gibt keinen Notbetrieb. Bei einer nicht Verfügbarkeit des Systems müssen keine besonderen Maßnahmen als Ersatz bereitgehalten werden. Gegebenenfalls entsteht eine Verzögerung für eine geplante Messung, oder eine Messung muss zu einem späteren Zeitpunkt wiederholt werden, wenn Daten der Massenspektroskopie erforderlich sind.</w:t>
      </w:r>
    </w:p>
    <w:p w:rsidR="00000000" w:rsidDel="00000000" w:rsidP="00000000" w:rsidRDefault="00000000" w:rsidRPr="00000000" w14:paraId="00000024">
      <w:pPr>
        <w:tabs>
          <w:tab w:val="center" w:leader="none" w:pos="4536"/>
          <w:tab w:val="right" w:leader="none" w:pos="9072"/>
        </w:tabs>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center" w:leader="none" w:pos="4536"/>
          <w:tab w:val="right" w:leader="none" w:pos="9072"/>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tabs>
          <w:tab w:val="center" w:leader="none" w:pos="4536"/>
          <w:tab w:val="right" w:leader="none" w:pos="9072"/>
        </w:tabs>
        <w:rPr>
          <w:rFonts w:ascii="Arial" w:cs="Arial" w:eastAsia="Arial" w:hAnsi="Arial"/>
          <w:sz w:val="22"/>
          <w:szCs w:val="22"/>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Notfallkonzept</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14.04.2023</w:t>
          </w:r>
          <w:r w:rsidDel="00000000" w:rsidR="00000000" w:rsidRPr="00000000">
            <w:rPr>
              <w:rtl w:val="0"/>
            </w:rPr>
          </w:r>
        </w:p>
      </w:tc>
      <w:tc>
        <w:tcPr>
          <w:vMerge w:val="restart"/>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Notfallkonzept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1.0</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