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945"/>
        <w:tblGridChange w:id="0">
          <w:tblGrid>
            <w:gridCol w:w="2694"/>
            <w:gridCol w:w="6945"/>
          </w:tblGrid>
        </w:tblGridChange>
      </w:tblGrid>
      <w:tr>
        <w:trPr>
          <w:cantSplit w:val="0"/>
          <w:trHeight w:val="392" w:hRule="atLeast"/>
          <w:tblHeader w:val="0"/>
        </w:trPr>
        <w:tc>
          <w:tcP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Projekttitel</w:t>
            </w:r>
            <w:r w:rsidDel="00000000" w:rsidR="00000000" w:rsidRPr="00000000">
              <w:rPr>
                <w:rtl w:val="0"/>
              </w:rPr>
            </w:r>
          </w:p>
        </w:tc>
        <w:tc>
          <w:tcPr>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Restgasanalyse</w:t>
            </w:r>
            <w:r w:rsidDel="00000000" w:rsidR="00000000" w:rsidRPr="00000000">
              <w:rPr>
                <w:rtl w:val="0"/>
              </w:rPr>
            </w:r>
          </w:p>
        </w:tc>
      </w:tr>
      <w:tr>
        <w:trPr>
          <w:cantSplit w:val="0"/>
          <w:trHeight w:val="392" w:hRule="atLeast"/>
          <w:tblHeader w:val="0"/>
        </w:trPr>
        <w:tc>
          <w:tcPr>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tl w:val="0"/>
              </w:rPr>
            </w:r>
          </w:p>
        </w:tc>
        <w:tc>
          <w:tcP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in Bearbeitung</w:t>
            </w:r>
            <w:r w:rsidDel="00000000" w:rsidR="00000000" w:rsidRPr="00000000">
              <w:rPr>
                <w:rtl w:val="0"/>
              </w:rPr>
            </w:r>
          </w:p>
        </w:tc>
      </w:tr>
      <w:tr>
        <w:trPr>
          <w:cantSplit w:val="0"/>
          <w:trHeight w:val="392" w:hRule="atLeast"/>
          <w:tblHeader w:val="0"/>
        </w:trPr>
        <w:tc>
          <w:tcP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Verteiler</w:t>
            </w:r>
            <w:r w:rsidDel="00000000" w:rsidR="00000000" w:rsidRPr="00000000">
              <w:rPr>
                <w:rtl w:val="0"/>
              </w:rPr>
            </w:r>
          </w:p>
        </w:tc>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Lars Meise, Marius Bäsler, Tobias Bittl, Andreas Junemann</w:t>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A">
      <w:pPr>
        <w:tabs>
          <w:tab w:val="center" w:leader="none" w:pos="4536"/>
          <w:tab w:val="right" w:leader="none" w:pos="9072"/>
        </w:tabs>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Historie</w:t>
      </w: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tbl>
      <w:tblPr>
        <w:tblStyle w:val="Table2"/>
        <w:tblW w:w="9348.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2301"/>
        <w:gridCol w:w="3597"/>
        <w:gridCol w:w="2157"/>
        <w:tblGridChange w:id="0">
          <w:tblGrid>
            <w:gridCol w:w="1293"/>
            <w:gridCol w:w="2301"/>
            <w:gridCol w:w="3597"/>
            <w:gridCol w:w="2157"/>
          </w:tblGrid>
        </w:tblGridChange>
      </w:tblGrid>
      <w:tr>
        <w:trPr>
          <w:cantSplit w:val="0"/>
          <w:tblHeader w:val="0"/>
        </w:trPr>
        <w:tc>
          <w:tcPr>
            <w:vAlign w:val="top"/>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b w:val="1"/>
                <w:rtl w:val="0"/>
              </w:rPr>
              <w:t xml:space="preserve">Version</w:t>
            </w:r>
            <w:r w:rsidDel="00000000" w:rsidR="00000000" w:rsidRPr="00000000">
              <w:rPr>
                <w:rtl w:val="0"/>
              </w:rPr>
            </w:r>
          </w:p>
        </w:tc>
        <w:tc>
          <w:tcPr>
            <w:vAlign w:val="top"/>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b w:val="1"/>
                <w:rtl w:val="0"/>
              </w:rPr>
              <w:t xml:space="preserve">Verfasser</w:t>
            </w:r>
            <w:r w:rsidDel="00000000" w:rsidR="00000000" w:rsidRPr="00000000">
              <w:rPr>
                <w:rtl w:val="0"/>
              </w:rPr>
            </w:r>
          </w:p>
        </w:tc>
        <w:tc>
          <w:tcPr>
            <w:vAlign w:val="top"/>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b w:val="1"/>
                <w:rtl w:val="0"/>
              </w:rPr>
              <w:t xml:space="preserve">Änderungsbeschreibung</w:t>
            </w:r>
            <w:r w:rsidDel="00000000" w:rsidR="00000000" w:rsidRPr="00000000">
              <w:rPr>
                <w:rtl w:val="0"/>
              </w:rPr>
            </w:r>
          </w:p>
        </w:tc>
        <w:tc>
          <w:tcPr>
            <w:vAlign w:val="top"/>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b w:val="1"/>
                <w:rtl w:val="0"/>
              </w:rPr>
              <w:t xml:space="preserve">Freigabedatum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0.1</w:t>
            </w:r>
          </w:p>
        </w:tc>
        <w:tc>
          <w:tcPr>
            <w:vAlign w:val="top"/>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Lars Meise</w:t>
            </w:r>
          </w:p>
        </w:tc>
        <w:tc>
          <w:tcPr>
            <w:vAlign w:val="top"/>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Anlage und erster Entwurf</w:t>
            </w:r>
          </w:p>
        </w:tc>
        <w:tc>
          <w:tcPr>
            <w:vAlign w:val="top"/>
          </w:tcPr>
          <w:p w:rsidR="00000000" w:rsidDel="00000000" w:rsidP="00000000" w:rsidRDefault="00000000" w:rsidRPr="00000000" w14:paraId="00000013">
            <w:pPr>
              <w:jc w:val="center"/>
              <w:rPr>
                <w:rFonts w:ascii="Arial" w:cs="Arial" w:eastAsia="Arial" w:hAnsi="Arial"/>
              </w:rPr>
            </w:pPr>
            <w:r w:rsidDel="00000000" w:rsidR="00000000" w:rsidRPr="00000000">
              <w:rPr>
                <w:rFonts w:ascii="Arial" w:cs="Arial" w:eastAsia="Arial" w:hAnsi="Arial"/>
                <w:rtl w:val="0"/>
              </w:rPr>
              <w:t xml:space="preserve">13.04.2023</w:t>
            </w:r>
          </w:p>
        </w:tc>
      </w:tr>
      <w:tr>
        <w:trPr>
          <w:cantSplit w:val="0"/>
          <w:tblHeader w:val="0"/>
        </w:trPr>
        <w:tc>
          <w:tcPr>
            <w:vAlign w:val="top"/>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1.0</w:t>
            </w:r>
          </w:p>
        </w:tc>
        <w:tc>
          <w:tcPr>
            <w:vAlign w:val="top"/>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Lars Meise</w:t>
            </w:r>
          </w:p>
        </w:tc>
        <w:tc>
          <w:tcPr>
            <w:vAlign w:val="top"/>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Statuswechsel</w:t>
            </w:r>
          </w:p>
        </w:tc>
        <w:tc>
          <w:tcPr>
            <w:vAlign w:val="top"/>
          </w:tcPr>
          <w:p w:rsidR="00000000" w:rsidDel="00000000" w:rsidP="00000000" w:rsidRDefault="00000000" w:rsidRPr="00000000" w14:paraId="00000017">
            <w:pPr>
              <w:jc w:val="center"/>
              <w:rPr>
                <w:rFonts w:ascii="Arial" w:cs="Arial" w:eastAsia="Arial" w:hAnsi="Arial"/>
              </w:rPr>
            </w:pPr>
            <w:r w:rsidDel="00000000" w:rsidR="00000000" w:rsidRPr="00000000">
              <w:rPr>
                <w:rFonts w:ascii="Arial" w:cs="Arial" w:eastAsia="Arial" w:hAnsi="Arial"/>
                <w:rtl w:val="0"/>
              </w:rPr>
              <w:t xml:space="preserve">14.04.2023</w:t>
            </w:r>
          </w:p>
        </w:tc>
      </w:tr>
    </w:tbl>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pStyle w:val="Heading1"/>
        <w:tabs>
          <w:tab w:val="center" w:leader="none" w:pos="4536"/>
          <w:tab w:val="right" w:leader="none" w:pos="9072"/>
        </w:tabs>
        <w:rPr>
          <w:rFonts w:ascii="Arial" w:cs="Arial" w:eastAsia="Arial" w:hAnsi="Arial"/>
          <w:sz w:val="28"/>
          <w:szCs w:val="28"/>
        </w:rPr>
      </w:pPr>
      <w:bookmarkStart w:colFirst="0" w:colLast="0" w:name="_t86ml8hcre57" w:id="0"/>
      <w:bookmarkEnd w:id="0"/>
      <w:r w:rsidDel="00000000" w:rsidR="00000000" w:rsidRPr="00000000">
        <w:rPr>
          <w:rFonts w:ascii="Arial" w:cs="Arial" w:eastAsia="Arial" w:hAnsi="Arial"/>
          <w:sz w:val="28"/>
          <w:szCs w:val="28"/>
          <w:rtl w:val="0"/>
        </w:rPr>
        <w:t xml:space="preserve">Schulungsziel</w:t>
      </w:r>
    </w:p>
    <w:p w:rsidR="00000000" w:rsidDel="00000000" w:rsidP="00000000" w:rsidRDefault="00000000" w:rsidRPr="00000000" w14:paraId="0000001A">
      <w:pPr>
        <w:tabs>
          <w:tab w:val="center" w:leader="none" w:pos="4536"/>
          <w:tab w:val="right" w:leader="none" w:pos="907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Die Funktionalität der Software beschränkt sich auf eine Datenerfassung und Visualisierung und betrifft somit nur den kleinen Anwenderkreis von Nutzern des PrismaPro Massenspektrometers innerhalb der GSI. Eine hoher Grad an Automatisierung innerhalb der Software ermöglicht eine Reduktion der notwendigen Benutzerbefehle auf ein Minimum. Über die zu erstellenden Qualifizierungsunterlagen müssen alle folgend genannten Bedienelemente anschaulich erläutert werden:</w:t>
      </w:r>
    </w:p>
    <w:p w:rsidR="00000000" w:rsidDel="00000000" w:rsidP="00000000" w:rsidRDefault="00000000" w:rsidRPr="00000000" w14:paraId="0000001B">
      <w:pPr>
        <w:tabs>
          <w:tab w:val="center" w:leader="none" w:pos="4536"/>
          <w:tab w:val="right" w:leader="none" w:pos="9072"/>
        </w:tabs>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C">
      <w:pPr>
        <w:numPr>
          <w:ilvl w:val="0"/>
          <w:numId w:val="3"/>
        </w:numPr>
        <w:tabs>
          <w:tab w:val="center" w:leader="none" w:pos="4536"/>
          <w:tab w:val="right" w:leader="none" w:pos="9072"/>
        </w:tabs>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Starten und Stoppen der Messung durch entsprechend beschriftete Buttons</w:t>
      </w:r>
    </w:p>
    <w:p w:rsidR="00000000" w:rsidDel="00000000" w:rsidP="00000000" w:rsidRDefault="00000000" w:rsidRPr="00000000" w14:paraId="0000001D">
      <w:pPr>
        <w:numPr>
          <w:ilvl w:val="0"/>
          <w:numId w:val="3"/>
        </w:numPr>
        <w:tabs>
          <w:tab w:val="center" w:leader="none" w:pos="4536"/>
          <w:tab w:val="right" w:leader="none" w:pos="9072"/>
        </w:tabs>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Auswahl der Atommassen zur Filterung der </w:t>
      </w:r>
      <w:r w:rsidDel="00000000" w:rsidR="00000000" w:rsidRPr="00000000">
        <w:rPr>
          <w:rFonts w:ascii="Arial" w:cs="Arial" w:eastAsia="Arial" w:hAnsi="Arial"/>
          <w:sz w:val="22"/>
          <w:szCs w:val="22"/>
          <w:rtl w:val="0"/>
        </w:rPr>
        <w:t xml:space="preserve">Zeitmessreihe</w:t>
      </w:r>
      <w:r w:rsidDel="00000000" w:rsidR="00000000" w:rsidRPr="00000000">
        <w:rPr>
          <w:rFonts w:ascii="Arial" w:cs="Arial" w:eastAsia="Arial" w:hAnsi="Arial"/>
          <w:sz w:val="22"/>
          <w:szCs w:val="22"/>
          <w:rtl w:val="0"/>
        </w:rPr>
        <w:t xml:space="preserve"> auf der Benutzeroberfläche</w:t>
      </w:r>
    </w:p>
    <w:p w:rsidR="00000000" w:rsidDel="00000000" w:rsidP="00000000" w:rsidRDefault="00000000" w:rsidRPr="00000000" w14:paraId="0000001E">
      <w:pPr>
        <w:numPr>
          <w:ilvl w:val="0"/>
          <w:numId w:val="1"/>
        </w:numPr>
        <w:tabs>
          <w:tab w:val="center" w:leader="none" w:pos="4536"/>
          <w:tab w:val="right" w:leader="none" w:pos="9072"/>
        </w:tabs>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Zugriff auf archivierte Messungen und Visualisierung auf der Benutzeroberfläche</w:t>
      </w:r>
    </w:p>
    <w:p w:rsidR="00000000" w:rsidDel="00000000" w:rsidP="00000000" w:rsidRDefault="00000000" w:rsidRPr="00000000" w14:paraId="0000001F">
      <w:pPr>
        <w:numPr>
          <w:ilvl w:val="0"/>
          <w:numId w:val="1"/>
        </w:numPr>
        <w:tabs>
          <w:tab w:val="center" w:leader="none" w:pos="4536"/>
          <w:tab w:val="right" w:leader="none" w:pos="9072"/>
        </w:tabs>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Export von Rohdaten direkt über die Benutzeroberfläche zur weiteren Verarbeitung</w:t>
      </w:r>
    </w:p>
    <w:p w:rsidR="00000000" w:rsidDel="00000000" w:rsidP="00000000" w:rsidRDefault="00000000" w:rsidRPr="00000000" w14:paraId="00000020">
      <w:pPr>
        <w:tabs>
          <w:tab w:val="center" w:leader="none" w:pos="4536"/>
          <w:tab w:val="right" w:leader="none" w:pos="9072"/>
        </w:tabs>
        <w:spacing w:line="360"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tabs>
          <w:tab w:val="center" w:leader="none" w:pos="4536"/>
          <w:tab w:val="right" w:leader="none" w:pos="9072"/>
        </w:tabs>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tabs>
          <w:tab w:val="center" w:leader="none" w:pos="4536"/>
          <w:tab w:val="right" w:leader="none" w:pos="9072"/>
        </w:tabs>
        <w:jc w:val="both"/>
        <w:rPr>
          <w:rFonts w:ascii="Arial" w:cs="Arial" w:eastAsia="Arial" w:hAnsi="Arial"/>
          <w:sz w:val="22"/>
          <w:szCs w:val="22"/>
          <w:vertAlign w:val="baseline"/>
        </w:rPr>
      </w:pPr>
      <w:r w:rsidDel="00000000" w:rsidR="00000000" w:rsidRPr="00000000">
        <w:rPr>
          <w:rFonts w:ascii="Arial" w:cs="Arial" w:eastAsia="Arial" w:hAnsi="Arial"/>
          <w:b w:val="1"/>
          <w:sz w:val="28"/>
          <w:szCs w:val="28"/>
          <w:rtl w:val="0"/>
        </w:rPr>
        <w:t xml:space="preserve">Installations- und Konfigurationsanleitung</w:t>
      </w:r>
      <w:r w:rsidDel="00000000" w:rsidR="00000000" w:rsidRPr="00000000">
        <w:rPr>
          <w:rtl w:val="0"/>
        </w:rPr>
      </w:r>
    </w:p>
    <w:p w:rsidR="00000000" w:rsidDel="00000000" w:rsidP="00000000" w:rsidRDefault="00000000" w:rsidRPr="00000000" w14:paraId="00000023">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4">
      <w:pPr>
        <w:tabs>
          <w:tab w:val="center" w:leader="none" w:pos="4536"/>
          <w:tab w:val="right" w:leader="none" w:pos="9072"/>
        </w:tabs>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Mithilfe einer Installationsanweisung und der vollständigen Software, soll es für jeden Benutzer möglich sein, die Software auf weiterer Hardware (Raspberry Pi) zu installieren.</w:t>
      </w:r>
    </w:p>
    <w:p w:rsidR="00000000" w:rsidDel="00000000" w:rsidP="00000000" w:rsidRDefault="00000000" w:rsidRPr="00000000" w14:paraId="00000025">
      <w:pPr>
        <w:tabs>
          <w:tab w:val="center" w:leader="none" w:pos="4536"/>
          <w:tab w:val="right" w:leader="none" w:pos="9072"/>
        </w:tabs>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Durch eine Konfigurationsanleitung kann ein Anwender Änderungen an den folgenden Parametern im Backend der Software vornehmen: </w:t>
      </w:r>
    </w:p>
    <w:p w:rsidR="00000000" w:rsidDel="00000000" w:rsidP="00000000" w:rsidRDefault="00000000" w:rsidRPr="00000000" w14:paraId="00000026">
      <w:pPr>
        <w:tabs>
          <w:tab w:val="center" w:leader="none" w:pos="4536"/>
          <w:tab w:val="right" w:leader="none" w:pos="9072"/>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numPr>
          <w:ilvl w:val="0"/>
          <w:numId w:val="2"/>
        </w:numPr>
        <w:tabs>
          <w:tab w:val="center" w:leader="none" w:pos="4536"/>
          <w:tab w:val="right" w:leader="none" w:pos="9072"/>
        </w:tabs>
        <w:spacing w:line="36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Auflösung der durchgeführten Messungen (Standard: 10)</w:t>
      </w:r>
    </w:p>
    <w:p w:rsidR="00000000" w:rsidDel="00000000" w:rsidP="00000000" w:rsidRDefault="00000000" w:rsidRPr="00000000" w14:paraId="00000028">
      <w:pPr>
        <w:numPr>
          <w:ilvl w:val="0"/>
          <w:numId w:val="2"/>
        </w:numPr>
        <w:tabs>
          <w:tab w:val="center" w:leader="none" w:pos="4536"/>
          <w:tab w:val="right" w:leader="none" w:pos="9072"/>
        </w:tabs>
        <w:spacing w:line="36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Messdauer je Messpunkt (Standard 32ms)</w:t>
      </w:r>
    </w:p>
    <w:p w:rsidR="00000000" w:rsidDel="00000000" w:rsidP="00000000" w:rsidRDefault="00000000" w:rsidRPr="00000000" w14:paraId="00000029">
      <w:pPr>
        <w:numPr>
          <w:ilvl w:val="0"/>
          <w:numId w:val="2"/>
        </w:numPr>
        <w:tabs>
          <w:tab w:val="center" w:leader="none" w:pos="4536"/>
          <w:tab w:val="right" w:leader="none" w:pos="9072"/>
        </w:tabs>
        <w:spacing w:line="36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Anzahl der gespeicherten Massen je nach eingesetztem Massenspektrometer (Standard: Startmasse 0 bis Stopmasse 200)</w:t>
      </w:r>
    </w:p>
    <w:p w:rsidR="00000000" w:rsidDel="00000000" w:rsidP="00000000" w:rsidRDefault="00000000" w:rsidRPr="00000000" w14:paraId="0000002A">
      <w:pPr>
        <w:numPr>
          <w:ilvl w:val="0"/>
          <w:numId w:val="2"/>
        </w:numPr>
        <w:tabs>
          <w:tab w:val="center" w:leader="none" w:pos="4536"/>
          <w:tab w:val="right" w:leader="none" w:pos="9072"/>
        </w:tabs>
        <w:spacing w:line="36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Massenfilter auf der Benutzeroberfläche</w:t>
      </w:r>
    </w:p>
    <w:p w:rsidR="00000000" w:rsidDel="00000000" w:rsidP="00000000" w:rsidRDefault="00000000" w:rsidRPr="00000000" w14:paraId="0000002B">
      <w:pPr>
        <w:tabs>
          <w:tab w:val="center" w:leader="none" w:pos="4536"/>
          <w:tab w:val="right" w:leader="none" w:pos="9072"/>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tabs>
          <w:tab w:val="center" w:leader="none" w:pos="4536"/>
          <w:tab w:val="right" w:leader="none" w:pos="9072"/>
        </w:tabs>
        <w:rPr>
          <w:rFonts w:ascii="Arial" w:cs="Arial" w:eastAsia="Arial" w:hAnsi="Arial"/>
          <w:sz w:val="22"/>
          <w:szCs w:val="22"/>
        </w:rPr>
      </w:pPr>
      <w:r w:rsidDel="00000000" w:rsidR="00000000" w:rsidRPr="00000000">
        <w:rPr>
          <w:rtl w:val="0"/>
        </w:rPr>
      </w:r>
    </w:p>
    <w:sectPr>
      <w:headerReference r:id="rId6" w:type="default"/>
      <w:footerReference r:id="rId7" w:type="default"/>
      <w:pgSz w:h="16838" w:w="11906" w:orient="portrait"/>
      <w:pgMar w:bottom="1134" w:top="1134"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7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7"/>
      <w:gridCol w:w="5811"/>
      <w:gridCol w:w="1701"/>
      <w:tblGridChange w:id="0">
        <w:tblGrid>
          <w:gridCol w:w="2197"/>
          <w:gridCol w:w="5811"/>
          <w:gridCol w:w="1701"/>
        </w:tblGrid>
      </w:tblGridChange>
    </w:tblGrid>
    <w:tr>
      <w:trPr>
        <w:cantSplit w:val="1"/>
        <w:trHeight w:val="280" w:hRule="atLeast"/>
        <w:tblHeader w:val="0"/>
      </w:trPr>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Restgasanalyse</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Qualifizierungskonzept</w:t>
          </w:r>
          <w:r w:rsidDel="00000000" w:rsidR="00000000" w:rsidRPr="00000000">
            <w:rPr>
              <w:rtl w:val="0"/>
            </w:rPr>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Seite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von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7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9"/>
      <w:gridCol w:w="1418"/>
      <w:gridCol w:w="5811"/>
      <w:gridCol w:w="1701"/>
      <w:tblGridChange w:id="0">
        <w:tblGrid>
          <w:gridCol w:w="779"/>
          <w:gridCol w:w="1418"/>
          <w:gridCol w:w="5811"/>
          <w:gridCol w:w="1701"/>
        </w:tblGrid>
      </w:tblGridChange>
    </w:tblGrid>
    <w:tr>
      <w:trPr>
        <w:cantSplit w:val="1"/>
        <w:trHeight w:val="540" w:hRule="atLeast"/>
        <w:tblHeader w:val="0"/>
      </w:trPr>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LM</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14.04.2023</w:t>
          </w:r>
          <w:r w:rsidDel="00000000" w:rsidR="00000000" w:rsidRPr="00000000">
            <w:rPr>
              <w:rtl w:val="0"/>
            </w:rPr>
          </w:r>
        </w:p>
      </w:tc>
      <w:tc>
        <w:tcPr>
          <w:vMerge w:val="restart"/>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Qualifizierungskonzept</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QB2</w:t>
          </w:r>
          <w:r w:rsidDel="00000000" w:rsidR="00000000" w:rsidRPr="00000000">
            <w:rPr>
              <w:rtl w:val="0"/>
            </w:rPr>
          </w:r>
        </w:p>
      </w:tc>
    </w:tr>
    <w:tr>
      <w:trPr>
        <w:cantSplit w:val="1"/>
        <w:trHeight w:val="290" w:hRule="atLeast"/>
        <w:tblHeader w:val="0"/>
      </w:trPr>
      <w:tc>
        <w:tcPr>
          <w:gridSpan w:val="2"/>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Restgasanalyse</w:t>
          </w:r>
        </w:p>
      </w:tc>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w:t>
          </w:r>
          <w:r w:rsidDel="00000000" w:rsidR="00000000" w:rsidRPr="00000000">
            <w:rPr>
              <w:rFonts w:ascii="Arial" w:cs="Arial" w:eastAsia="Arial" w:hAnsi="Arial"/>
              <w:sz w:val="16"/>
              <w:szCs w:val="16"/>
              <w:rtl w:val="0"/>
            </w:rPr>
            <w:t xml:space="preserve">1.0</w:t>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