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20"/>
              <w:bottom w:type="dxa" w:w="240"/>
              <w:right w:type="dxa" w:w="320"/>
            </w:tcMar>
            <w:vAlign w:val="top"/>
          </w:tcPr>
          <w:p>
            <w:pPr>
              <w:spacing w:before="0" w:after="40"/>
              <w:jc w:val="left"/>
            </w:pPr>
            <w:r>
              <w:rPr>
                <w:rFonts w:ascii="Poppins" w:cs="Poppins" w:eastAsia="Poppins" w:hAnsi="Poppins"/>
                <w:b/>
                <w:bCs/>
                <w:color w:val="76B39D"/>
                <w:sz w:val="16"/>
                <w:szCs w:val="16"/>
              </w:rPr>
              <w:t xml:space="preserve">COFFEE SHOP BASECAMP — CAPSTONE RESOURCE</w:t>
            </w:r>
          </w:p>
          <w:p>
            <w:pPr>
              <w:spacing w:before="0" w:after="40"/>
              <w:jc w:val="left"/>
            </w:pPr>
            <w:r>
              <w:rPr>
                <w:rFonts w:ascii="Poppins" w:cs="Poppins" w:eastAsia="Poppins" w:hAnsi="Poppins"/>
                <w:b/>
                <w:bCs/>
                <w:color w:val="FFFFFF"/>
                <w:sz w:val="30"/>
                <w:szCs w:val="30"/>
              </w:rPr>
              <w:t xml:space="preserve">90-Day Operations Tracker</w:t>
            </w:r>
          </w:p>
          <w:p>
            <w:pPr>
              <w:spacing w:before="0" w:after="60"/>
              <w:jc w:val="left"/>
            </w:pPr>
            <w:r>
              <w:rPr>
                <w:rFonts w:ascii="Poppins" w:cs="Poppins" w:eastAsia="Poppins" w:hAnsi="Poppins"/>
                <w:b w:val="false"/>
                <w:bCs w:val="false"/>
                <w:color w:val="C8E6E8"/>
                <w:sz w:val="16"/>
                <w:szCs w:val="16"/>
              </w:rPr>
              <w:t xml:space="preserve">Week-by-week operational priorities for your first 90 days after opening. This is Component 9 of your Business Readiness Document.</w:t>
            </w:r>
          </w:p>
          <w:p>
            <w:pPr>
              <w:spacing w:before="0" w:after="0"/>
              <w:jc w:val="left"/>
            </w:pPr>
            <w:r>
              <w:rPr>
                <w:rFonts w:ascii="Poppins" w:cs="Poppins" w:eastAsia="Poppins" w:hAnsi="Poppins"/>
                <w:b/>
                <w:bCs/>
                <w:color w:val="AADDDD"/>
                <w:sz w:val="17"/>
                <w:szCs w:val="17"/>
              </w:rPr>
              <w:t xml:space="preserve">Week 8 of 8  |  Operational Template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60"/>
            </w:tcMar>
            <w:vAlign w:val="top"/>
          </w:tcPr>
          <w:p>
            <w:pPr>
              <w:spacing w:before="0" w:after="14"/>
              <w:jc w:val="left"/>
            </w:pPr>
            <w:r>
              <w:rPr>
                <w:rFonts w:ascii="Poppins" w:cs="Poppins" w:eastAsia="Poppins" w:hAnsi="Poppins"/>
                <w:b/>
                <w:bCs/>
                <w:color w:val="AFAFAF"/>
                <w:sz w:val="13"/>
                <w:szCs w:val="13"/>
              </w:rPr>
              <w:t xml:space="preserve">Shop Name</w:t>
            </w:r>
          </w:p>
          <w:p>
            <w:pPr>
              <w:pBdr>
                <w:bottom w:val="single" w:color="C8C8C8" w:sz="6" w:space="3"/>
              </w:pBdr>
              <w:spacing w:before="0" w:after="30"/>
            </w:pPr>
          </w:p>
        </w:tc>
        <w:tc>
          <w:tcPr>
            <w:tcW w:type="dxa" w:w="4680"/>
            <w:tcBorders>
              <w:top w:val="single" w:color="CCCCCC" w:sz="2"/>
              <w:left w:val="single" w:color="CCCCCC" w:sz="2"/>
              <w:bottom w:val="single" w:color="CCCCCC" w:sz="2"/>
              <w:right w:val="single" w:color="CCCCCC" w:sz="2"/>
            </w:tcBorders>
            <w:shd w:fill="FFFFFF" w:val="clear"/>
            <w:tcMar>
              <w:top w:type="dxa" w:w="80"/>
              <w:left w:type="dxa" w:w="60"/>
              <w:bottom w:type="dxa" w:w="80"/>
              <w:right w:type="dxa" w:w="100"/>
            </w:tcMar>
            <w:vAlign w:val="top"/>
          </w:tcPr>
          <w:p>
            <w:pPr>
              <w:spacing w:before="0" w:after="14"/>
              <w:jc w:val="left"/>
            </w:pPr>
            <w:r>
              <w:rPr>
                <w:rFonts w:ascii="Poppins" w:cs="Poppins" w:eastAsia="Poppins" w:hAnsi="Poppins"/>
                <w:b/>
                <w:bCs/>
                <w:color w:val="AFAFAF"/>
                <w:sz w:val="13"/>
                <w:szCs w:val="13"/>
              </w:rPr>
              <w:t xml:space="preserve">Opening Date</w:t>
            </w:r>
          </w:p>
          <w:p>
            <w:pPr>
              <w:pBdr>
                <w:bottom w:val="single" w:color="C8C8C8" w:sz="6" w:space="3"/>
              </w:pBdr>
              <w:spacing w:before="0" w:after="30"/>
            </w:pP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How to use this tracker: At the start of each week, read the focus area and note your planned actions. At the end of the week, come back and record what actually happened. Bring this to any coaching or peer calls you have after opening — the gaps between plan and reality are more valuable than either alone.</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YOUR WEEKLY CHECKLIST — REPEAT EVERY WEEK</w:t>
            </w:r>
          </w:p>
          <w:p>
            <w:pPr>
              <w:spacing w:before="0" w:after="20"/>
              <w:jc w:val="left"/>
            </w:pPr>
            <w:r>
              <w:rPr>
                <w:rFonts w:ascii="Poppins" w:cs="Poppins" w:eastAsia="Poppins" w:hAnsi="Poppins"/>
                <w:b/>
                <w:bCs/>
                <w:color w:val="155E63"/>
                <w:sz w:val="18"/>
                <w:szCs w:val="18"/>
              </w:rPr>
              <w:t xml:space="preserve">The non-negotiable review cadence</w:t>
            </w:r>
          </w:p>
          <w:p>
            <w:pPr>
              <w:spacing w:before="0" w:after="50"/>
              <w:jc w:val="left"/>
            </w:pPr>
            <w:r>
              <w:rPr>
                <w:rFonts w:ascii="Poppins" w:cs="Poppins" w:eastAsia="Poppins" w:hAnsi="Poppins"/>
                <w:b w:val="false"/>
                <w:bCs w:val="false"/>
                <w:color w:val="444444"/>
                <w:sz w:val="17"/>
                <w:szCs w:val="17"/>
              </w:rPr>
              <w:t xml:space="preserve">Daily (5 minutes): Compare sales to the same day last week. Note anything unusual.</w:t>
            </w:r>
          </w:p>
          <w:p>
            <w:pPr>
              <w:spacing w:before="0" w:after="50"/>
              <w:jc w:val="left"/>
            </w:pPr>
            <w:r>
              <w:rPr>
                <w:rFonts w:ascii="Poppins" w:cs="Poppins" w:eastAsia="Poppins" w:hAnsi="Poppins"/>
                <w:b w:val="false"/>
                <w:bCs w:val="false"/>
                <w:color w:val="444444"/>
                <w:sz w:val="17"/>
                <w:szCs w:val="17"/>
              </w:rPr>
              <w:t xml:space="preserve">Weekly (30 minutes): Review COGS and labour percentages. Check week-on-week revenue trend. Hold a team debrief.</w:t>
            </w:r>
          </w:p>
          <w:p>
            <w:pPr>
              <w:spacing w:before="0" w:after="50"/>
              <w:jc w:val="left"/>
            </w:pPr>
            <w:r>
              <w:rPr>
                <w:rFonts w:ascii="Poppins" w:cs="Poppins" w:eastAsia="Poppins" w:hAnsi="Poppins"/>
                <w:b w:val="false"/>
                <w:bCs w:val="false"/>
                <w:color w:val="444444"/>
                <w:sz w:val="17"/>
                <w:szCs w:val="17"/>
              </w:rPr>
              <w:t xml:space="preserve">Monthly (90 minutes): Full P&amp;L vs. Week 2 projections. Menu review. One thing to improve next month.</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00"/>
              <w:left w:type="dxa" w:w="200"/>
              <w:bottom w:type="dxa" w:w="100"/>
              <w:right w:type="dxa" w:w="200"/>
            </w:tcMar>
            <w:vAlign w:val="top"/>
          </w:tcPr>
          <w:p>
            <w:pPr>
              <w:spacing w:before="0" w:after="12"/>
              <w:jc w:val="left"/>
            </w:pPr>
            <w:r>
              <w:rPr>
                <w:rFonts w:ascii="Poppins" w:cs="Poppins" w:eastAsia="Poppins" w:hAnsi="Poppins"/>
                <w:b/>
                <w:bCs/>
                <w:color w:val="76B39D"/>
                <w:sz w:val="13"/>
                <w:szCs w:val="13"/>
              </w:rPr>
              <w:t xml:space="preserve">MONTH 1 — DAYS 1–30</w:t>
            </w:r>
          </w:p>
          <w:p>
            <w:pPr>
              <w:spacing w:before="0" w:after="0"/>
              <w:jc w:val="left"/>
            </w:pPr>
            <w:r>
              <w:rPr>
                <w:rFonts w:ascii="Poppins" w:cs="Poppins" w:eastAsia="Poppins" w:hAnsi="Poppins"/>
                <w:b/>
                <w:bCs/>
                <w:color w:val="FFFFFF"/>
                <w:sz w:val="18"/>
                <w:szCs w:val="18"/>
              </w:rPr>
              <w:t xml:space="preserve">Survive, Observe, and Make Your First Adjustments</w:t>
            </w:r>
          </w:p>
        </w:tc>
      </w:tr>
    </w:tbl>
    <w:p>
      <w:pPr>
        <w:spacing w:before="0" w:after="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55E63"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1
Month 1</w:t>
            </w:r>
          </w:p>
          <w:p>
            <w:pPr>
              <w:spacing w:before="0" w:after="0"/>
              <w:jc w:val="center"/>
            </w:pPr>
            <w:r>
              <w:rPr>
                <w:rFonts w:ascii="Poppins" w:cs="Poppins" w:eastAsia="Poppins" w:hAnsi="Poppins"/>
                <w:b w:val="false"/>
                <w:bCs w:val="false"/>
                <w:color w:val="AADDDD"/>
                <w:sz w:val="12"/>
                <w:szCs w:val="12"/>
              </w:rPr>
              <w:t xml:space="preserve">Days 1–7</w:t>
            </w:r>
          </w:p>
        </w:tc>
        <w:tc>
          <w:tcPr>
            <w:tcW w:type="dxa" w:w="8560"/>
            <w:tcBorders>
              <w:top w:val="single" w:color="CCCCCC" w:sz="2"/>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Survive and observe</w:t>
            </w:r>
          </w:p>
          <w:p>
            <w:pPr>
              <w:spacing w:before="0" w:after="20"/>
              <w:jc w:val="left"/>
            </w:pPr>
            <w:r>
              <w:rPr>
                <w:rFonts w:ascii="Poppins" w:cs="Poppins" w:eastAsia="Poppins" w:hAnsi="Poppins"/>
                <w:b w:val="false"/>
                <w:bCs w:val="false"/>
                <w:color w:val="555555"/>
                <w:sz w:val="15"/>
                <w:szCs w:val="15"/>
              </w:rPr>
              <w:t xml:space="preserve">Do not change anything yet. Watch what is actually happening — peak times, popular items, service friction points. Note everything. Change nothing.</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155E63"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2
Month 1</w:t>
            </w:r>
          </w:p>
          <w:p>
            <w:pPr>
              <w:spacing w:before="0" w:after="0"/>
              <w:jc w:val="center"/>
            </w:pPr>
            <w:r>
              <w:rPr>
                <w:rFonts w:ascii="Poppins" w:cs="Poppins" w:eastAsia="Poppins" w:hAnsi="Poppins"/>
                <w:b w:val="false"/>
                <w:bCs w:val="false"/>
                <w:color w:val="AADDDD"/>
                <w:sz w:val="12"/>
                <w:szCs w:val="12"/>
              </w:rPr>
              <w:t xml:space="preserve">Days 8–14</w:t>
            </w:r>
          </w:p>
        </w:tc>
        <w:tc>
          <w:tcPr>
            <w:tcW w:type="dxa" w:w="856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First service adjustments</w:t>
            </w:r>
          </w:p>
          <w:p>
            <w:pPr>
              <w:spacing w:before="0" w:after="20"/>
              <w:jc w:val="left"/>
            </w:pPr>
            <w:r>
              <w:rPr>
                <w:rFonts w:ascii="Poppins" w:cs="Poppins" w:eastAsia="Poppins" w:hAnsi="Poppins"/>
                <w:b w:val="false"/>
                <w:bCs w:val="false"/>
                <w:color w:val="555555"/>
                <w:sz w:val="15"/>
                <w:szCs w:val="15"/>
              </w:rPr>
              <w:t xml:space="preserve">Make one staffing adjustment based on observed peak patterns. Review your first week's sales against projections. Hold a team debrief.</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155E63"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3
Month 1</w:t>
            </w:r>
          </w:p>
          <w:p>
            <w:pPr>
              <w:spacing w:before="0" w:after="0"/>
              <w:jc w:val="center"/>
            </w:pPr>
            <w:r>
              <w:rPr>
                <w:rFonts w:ascii="Poppins" w:cs="Poppins" w:eastAsia="Poppins" w:hAnsi="Poppins"/>
                <w:b w:val="false"/>
                <w:bCs w:val="false"/>
                <w:color w:val="AADDDD"/>
                <w:sz w:val="12"/>
                <w:szCs w:val="12"/>
              </w:rPr>
              <w:t xml:space="preserve">Days 15–21</w:t>
            </w:r>
          </w:p>
        </w:tc>
        <w:tc>
          <w:tcPr>
            <w:tcW w:type="dxa" w:w="8560"/>
            <w:tcBorders>
              <w:top w:val="none" w:color="FFFFFF" w:sz="0"/>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Menu review — first data</w:t>
            </w:r>
          </w:p>
          <w:p>
            <w:pPr>
              <w:spacing w:before="0" w:after="20"/>
              <w:jc w:val="left"/>
            </w:pPr>
            <w:r>
              <w:rPr>
                <w:rFonts w:ascii="Poppins" w:cs="Poppins" w:eastAsia="Poppins" w:hAnsi="Poppins"/>
                <w:b w:val="false"/>
                <w:bCs w:val="false"/>
                <w:color w:val="555555"/>
                <w:sz w:val="15"/>
                <w:szCs w:val="15"/>
              </w:rPr>
              <w:t xml:space="preserve">Identify your top three and bottom three selling items. Do not remove anything yet — you need more data. Note what is surprising.</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155E63"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4
Month 1</w:t>
            </w:r>
          </w:p>
          <w:p>
            <w:pPr>
              <w:spacing w:before="0" w:after="0"/>
              <w:jc w:val="center"/>
            </w:pPr>
            <w:r>
              <w:rPr>
                <w:rFonts w:ascii="Poppins" w:cs="Poppins" w:eastAsia="Poppins" w:hAnsi="Poppins"/>
                <w:b w:val="false"/>
                <w:bCs w:val="false"/>
                <w:color w:val="AADDDD"/>
                <w:sz w:val="12"/>
                <w:szCs w:val="12"/>
              </w:rPr>
              <w:t xml:space="preserve">Days 22–30</w:t>
            </w:r>
          </w:p>
        </w:tc>
        <w:tc>
          <w:tcPr>
            <w:tcW w:type="dxa" w:w="856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End of month 1 review</w:t>
            </w:r>
          </w:p>
          <w:p>
            <w:pPr>
              <w:spacing w:before="0" w:after="20"/>
              <w:jc w:val="left"/>
            </w:pPr>
            <w:r>
              <w:rPr>
                <w:rFonts w:ascii="Poppins" w:cs="Poppins" w:eastAsia="Poppins" w:hAnsi="Poppins"/>
                <w:b w:val="false"/>
                <w:bCs w:val="false"/>
                <w:color w:val="555555"/>
                <w:sz w:val="15"/>
                <w:szCs w:val="15"/>
              </w:rPr>
              <w:t xml:space="preserve">Compare month 1 actual revenue to your Week 2 projection. Calculate your actual COGS and labour percentages. Write one paragraph on what is working and one on what is not.</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474" w:val="clear"/>
            <w:tcMar>
              <w:top w:type="dxa" w:w="100"/>
              <w:left w:type="dxa" w:w="200"/>
              <w:bottom w:type="dxa" w:w="100"/>
              <w:right w:type="dxa" w:w="200"/>
            </w:tcMar>
            <w:vAlign w:val="top"/>
          </w:tcPr>
          <w:p>
            <w:pPr>
              <w:spacing w:before="0" w:after="12"/>
              <w:jc w:val="left"/>
            </w:pPr>
            <w:r>
              <w:rPr>
                <w:rFonts w:ascii="Poppins" w:cs="Poppins" w:eastAsia="Poppins" w:hAnsi="Poppins"/>
                <w:b/>
                <w:bCs/>
                <w:color w:val="76B39D"/>
                <w:sz w:val="13"/>
                <w:szCs w:val="13"/>
              </w:rPr>
              <w:t xml:space="preserve">MONTH 2 — DAYS 31–60</w:t>
            </w:r>
          </w:p>
          <w:p>
            <w:pPr>
              <w:spacing w:before="0" w:after="0"/>
              <w:jc w:val="left"/>
            </w:pPr>
            <w:r>
              <w:rPr>
                <w:rFonts w:ascii="Poppins" w:cs="Poppins" w:eastAsia="Poppins" w:hAnsi="Poppins"/>
                <w:b/>
                <w:bCs/>
                <w:color w:val="FFFFFF"/>
                <w:sz w:val="18"/>
                <w:szCs w:val="18"/>
              </w:rPr>
              <w:t xml:space="preserve">Tune the Model Based on Real Trading Data</w:t>
            </w:r>
          </w:p>
        </w:tc>
      </w:tr>
    </w:tbl>
    <w:p>
      <w:pPr>
        <w:spacing w:before="0" w:after="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474"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5
Month 2</w:t>
            </w:r>
          </w:p>
          <w:p>
            <w:pPr>
              <w:spacing w:before="0" w:after="0"/>
              <w:jc w:val="center"/>
            </w:pPr>
            <w:r>
              <w:rPr>
                <w:rFonts w:ascii="Poppins" w:cs="Poppins" w:eastAsia="Poppins" w:hAnsi="Poppins"/>
                <w:b w:val="false"/>
                <w:bCs w:val="false"/>
                <w:color w:val="AADDDD"/>
                <w:sz w:val="12"/>
                <w:szCs w:val="12"/>
              </w:rPr>
              <w:t xml:space="preserve">Days 31–37</w:t>
            </w:r>
          </w:p>
        </w:tc>
        <w:tc>
          <w:tcPr>
            <w:tcW w:type="dxa" w:w="8560"/>
            <w:tcBorders>
              <w:top w:val="single" w:color="CCCCCC" w:sz="2"/>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Regulars are emerging</w:t>
            </w:r>
          </w:p>
          <w:p>
            <w:pPr>
              <w:spacing w:before="0" w:after="20"/>
              <w:jc w:val="left"/>
            </w:pPr>
            <w:r>
              <w:rPr>
                <w:rFonts w:ascii="Poppins" w:cs="Poppins" w:eastAsia="Poppins" w:hAnsi="Poppins"/>
                <w:b w:val="false"/>
                <w:bCs w:val="false"/>
                <w:color w:val="555555"/>
                <w:sz w:val="15"/>
                <w:szCs w:val="15"/>
              </w:rPr>
              <w:t xml:space="preserve">Start noticing who is coming back and what they order. These people are your most important marketing asset — know their names and their orders.</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1A7474"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6
Month 2</w:t>
            </w:r>
          </w:p>
          <w:p>
            <w:pPr>
              <w:spacing w:before="0" w:after="0"/>
              <w:jc w:val="center"/>
            </w:pPr>
            <w:r>
              <w:rPr>
                <w:rFonts w:ascii="Poppins" w:cs="Poppins" w:eastAsia="Poppins" w:hAnsi="Poppins"/>
                <w:b w:val="false"/>
                <w:bCs w:val="false"/>
                <w:color w:val="AADDDD"/>
                <w:sz w:val="12"/>
                <w:szCs w:val="12"/>
              </w:rPr>
              <w:t xml:space="preserve">Days 38–44</w:t>
            </w:r>
          </w:p>
        </w:tc>
        <w:tc>
          <w:tcPr>
            <w:tcW w:type="dxa" w:w="856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First menu adjustment</w:t>
            </w:r>
          </w:p>
          <w:p>
            <w:pPr>
              <w:spacing w:before="0" w:after="20"/>
              <w:jc w:val="left"/>
            </w:pPr>
            <w:r>
              <w:rPr>
                <w:rFonts w:ascii="Poppins" w:cs="Poppins" w:eastAsia="Poppins" w:hAnsi="Poppins"/>
                <w:b w:val="false"/>
                <w:bCs w:val="false"/>
                <w:color w:val="555555"/>
                <w:sz w:val="15"/>
                <w:szCs w:val="15"/>
              </w:rPr>
              <w:t xml:space="preserve">Remove or replace the item with the lowest margin and the lowest sales. Make one addition if customer feedback suggests a clear gap.</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1A7474"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7
Month 2</w:t>
            </w:r>
          </w:p>
          <w:p>
            <w:pPr>
              <w:spacing w:before="0" w:after="0"/>
              <w:jc w:val="center"/>
            </w:pPr>
            <w:r>
              <w:rPr>
                <w:rFonts w:ascii="Poppins" w:cs="Poppins" w:eastAsia="Poppins" w:hAnsi="Poppins"/>
                <w:b w:val="false"/>
                <w:bCs w:val="false"/>
                <w:color w:val="AADDDD"/>
                <w:sz w:val="12"/>
                <w:szCs w:val="12"/>
              </w:rPr>
              <w:t xml:space="preserve">Days 45–51</w:t>
            </w:r>
          </w:p>
        </w:tc>
        <w:tc>
          <w:tcPr>
            <w:tcW w:type="dxa" w:w="8560"/>
            <w:tcBorders>
              <w:top w:val="none" w:color="FFFFFF" w:sz="0"/>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Staffing model check</w:t>
            </w:r>
          </w:p>
          <w:p>
            <w:pPr>
              <w:spacing w:before="0" w:after="20"/>
              <w:jc w:val="left"/>
            </w:pPr>
            <w:r>
              <w:rPr>
                <w:rFonts w:ascii="Poppins" w:cs="Poppins" w:eastAsia="Poppins" w:hAnsi="Poppins"/>
                <w:b w:val="false"/>
                <w:bCs w:val="false"/>
                <w:color w:val="555555"/>
                <w:sz w:val="15"/>
                <w:szCs w:val="15"/>
              </w:rPr>
              <w:t xml:space="preserve">Is your staffing model matching your trading patterns? Over-staffed mornings and under-staffed afternoons is the most common pattern to fix at this stage.</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1A7474"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8
Month 2</w:t>
            </w:r>
          </w:p>
          <w:p>
            <w:pPr>
              <w:spacing w:before="0" w:after="0"/>
              <w:jc w:val="center"/>
            </w:pPr>
            <w:r>
              <w:rPr>
                <w:rFonts w:ascii="Poppins" w:cs="Poppins" w:eastAsia="Poppins" w:hAnsi="Poppins"/>
                <w:b w:val="false"/>
                <w:bCs w:val="false"/>
                <w:color w:val="AADDDD"/>
                <w:sz w:val="12"/>
                <w:szCs w:val="12"/>
              </w:rPr>
              <w:t xml:space="preserve">Days 52–60</w:t>
            </w:r>
          </w:p>
        </w:tc>
        <w:tc>
          <w:tcPr>
            <w:tcW w:type="dxa" w:w="856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End of month 2 review</w:t>
            </w:r>
          </w:p>
          <w:p>
            <w:pPr>
              <w:spacing w:before="0" w:after="20"/>
              <w:jc w:val="left"/>
            </w:pPr>
            <w:r>
              <w:rPr>
                <w:rFonts w:ascii="Poppins" w:cs="Poppins" w:eastAsia="Poppins" w:hAnsi="Poppins"/>
                <w:b w:val="false"/>
                <w:bCs w:val="false"/>
                <w:color w:val="555555"/>
                <w:sz w:val="15"/>
                <w:szCs w:val="15"/>
              </w:rPr>
              <w:t xml:space="preserve">Two-month P&amp;L review. What has improved? What has not? Identify the single most important operational change for month 3.</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100"/>
              <w:left w:type="dxa" w:w="200"/>
              <w:bottom w:type="dxa" w:w="100"/>
              <w:right w:type="dxa" w:w="200"/>
            </w:tcMar>
            <w:vAlign w:val="top"/>
          </w:tcPr>
          <w:p>
            <w:pPr>
              <w:spacing w:before="0" w:after="12"/>
              <w:jc w:val="left"/>
            </w:pPr>
            <w:r>
              <w:rPr>
                <w:rFonts w:ascii="Poppins" w:cs="Poppins" w:eastAsia="Poppins" w:hAnsi="Poppins"/>
                <w:b/>
                <w:bCs/>
                <w:color w:val="76B39D"/>
                <w:sz w:val="13"/>
                <w:szCs w:val="13"/>
              </w:rPr>
              <w:t xml:space="preserve">MONTH 3 — DAYS 61–90</w:t>
            </w:r>
          </w:p>
          <w:p>
            <w:pPr>
              <w:spacing w:before="0" w:after="0"/>
              <w:jc w:val="left"/>
            </w:pPr>
            <w:r>
              <w:rPr>
                <w:rFonts w:ascii="Poppins" w:cs="Poppins" w:eastAsia="Poppins" w:hAnsi="Poppins"/>
                <w:b/>
                <w:bCs/>
                <w:color w:val="FFFFFF"/>
                <w:sz w:val="18"/>
                <w:szCs w:val="18"/>
              </w:rPr>
              <w:t xml:space="preserve">Systemise and Look Forward</w:t>
            </w:r>
          </w:p>
        </w:tc>
      </w:tr>
    </w:tbl>
    <w:p>
      <w:pPr>
        <w:spacing w:before="0" w:after="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6B39D"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Weeks 9–10
Month 3</w:t>
            </w:r>
          </w:p>
          <w:p>
            <w:pPr>
              <w:spacing w:before="0" w:after="0"/>
              <w:jc w:val="center"/>
            </w:pPr>
            <w:r>
              <w:rPr>
                <w:rFonts w:ascii="Poppins" w:cs="Poppins" w:eastAsia="Poppins" w:hAnsi="Poppins"/>
                <w:b w:val="false"/>
                <w:bCs w:val="false"/>
                <w:color w:val="AADDDD"/>
                <w:sz w:val="12"/>
                <w:szCs w:val="12"/>
              </w:rPr>
              <w:t xml:space="preserve">Days 61–74</w:t>
            </w:r>
          </w:p>
        </w:tc>
        <w:tc>
          <w:tcPr>
            <w:tcW w:type="dxa" w:w="8560"/>
            <w:tcBorders>
              <w:top w:val="single" w:color="CCCCCC" w:sz="2"/>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Systems consolidation</w:t>
            </w:r>
          </w:p>
          <w:p>
            <w:pPr>
              <w:spacing w:before="0" w:after="20"/>
              <w:jc w:val="left"/>
            </w:pPr>
            <w:r>
              <w:rPr>
                <w:rFonts w:ascii="Poppins" w:cs="Poppins" w:eastAsia="Poppins" w:hAnsi="Poppins"/>
                <w:b w:val="false"/>
                <w:bCs w:val="false"/>
                <w:color w:val="555555"/>
                <w:sz w:val="15"/>
                <w:szCs w:val="15"/>
              </w:rPr>
              <w:t xml:space="preserve">Document any process that currently only exists in your head. Opening and closing procedures, espresso calibration, ordering schedule. If you were sick for a week, could someone else run this from these documents?</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76B39D"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Weeks 11–12
Month 3</w:t>
            </w:r>
          </w:p>
          <w:p>
            <w:pPr>
              <w:spacing w:before="0" w:after="0"/>
              <w:jc w:val="center"/>
            </w:pPr>
            <w:r>
              <w:rPr>
                <w:rFonts w:ascii="Poppins" w:cs="Poppins" w:eastAsia="Poppins" w:hAnsi="Poppins"/>
                <w:b w:val="false"/>
                <w:bCs w:val="false"/>
                <w:color w:val="AADDDD"/>
                <w:sz w:val="12"/>
                <w:szCs w:val="12"/>
              </w:rPr>
              <w:t xml:space="preserve">Days 75–83</w:t>
            </w:r>
          </w:p>
        </w:tc>
        <w:tc>
          <w:tcPr>
            <w:tcW w:type="dxa" w:w="856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Community deepening</w:t>
            </w:r>
          </w:p>
          <w:p>
            <w:pPr>
              <w:spacing w:before="0" w:after="20"/>
              <w:jc w:val="left"/>
            </w:pPr>
            <w:r>
              <w:rPr>
                <w:rFonts w:ascii="Poppins" w:cs="Poppins" w:eastAsia="Poppins" w:hAnsi="Poppins"/>
                <w:b w:val="false"/>
                <w:bCs w:val="false"/>
                <w:color w:val="555555"/>
                <w:sz w:val="15"/>
                <w:szCs w:val="15"/>
              </w:rPr>
              <w:t xml:space="preserve">Follow up on your five community relationships from Week 7. Which ones have produced something real? Which ones need a second contact? Start thinking about the next wave.</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2"/>
              <w:left w:val="none" w:color="FFFFFF" w:sz="0"/>
              <w:bottom w:val="none" w:color="FFFFFF" w:sz="0"/>
              <w:right w:val="none" w:color="FFFFFF" w:sz="0"/>
            </w:tcBorders>
            <w:shd w:fill="76B39D" w:val="clear"/>
            <w:tcMar>
              <w:top w:type="dxa" w:w="80"/>
              <w:left w:type="dxa" w:w="40"/>
              <w:bottom w:type="dxa" w:w="80"/>
              <w:right w:type="dxa" w:w="40"/>
            </w:tcMar>
            <w:vAlign w:val="center"/>
          </w:tcPr>
          <w:p>
            <w:pPr>
              <w:spacing w:before="0" w:after="8"/>
              <w:jc w:val="center"/>
            </w:pPr>
            <w:r>
              <w:rPr>
                <w:rFonts w:ascii="Poppins" w:cs="Poppins" w:eastAsia="Poppins" w:hAnsi="Poppins"/>
                <w:b/>
                <w:bCs/>
                <w:color w:val="FFFFFF"/>
                <w:sz w:val="14"/>
                <w:szCs w:val="14"/>
              </w:rPr>
              <w:t xml:space="preserve">Week 13
Month 3</w:t>
            </w:r>
          </w:p>
          <w:p>
            <w:pPr>
              <w:spacing w:before="0" w:after="0"/>
              <w:jc w:val="center"/>
            </w:pPr>
            <w:r>
              <w:rPr>
                <w:rFonts w:ascii="Poppins" w:cs="Poppins" w:eastAsia="Poppins" w:hAnsi="Poppins"/>
                <w:b w:val="false"/>
                <w:bCs w:val="false"/>
                <w:color w:val="AADDDD"/>
                <w:sz w:val="12"/>
                <w:szCs w:val="12"/>
              </w:rPr>
              <w:t xml:space="preserve">Days 84–90</w:t>
            </w:r>
          </w:p>
        </w:tc>
        <w:tc>
          <w:tcPr>
            <w:tcW w:type="dxa" w:w="8560"/>
            <w:tcBorders>
              <w:top w:val="none" w:color="FFFFFF" w:sz="0"/>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4"/>
              <w:jc w:val="left"/>
            </w:pPr>
            <w:r>
              <w:rPr>
                <w:rFonts w:ascii="Poppins" w:cs="Poppins" w:eastAsia="Poppins" w:hAnsi="Poppins"/>
                <w:b/>
                <w:bCs/>
                <w:color w:val="155E63"/>
                <w:sz w:val="15"/>
                <w:szCs w:val="15"/>
              </w:rPr>
              <w:t xml:space="preserve">90-day debrief</w:t>
            </w:r>
          </w:p>
          <w:p>
            <w:pPr>
              <w:spacing w:before="0" w:after="20"/>
              <w:jc w:val="left"/>
            </w:pPr>
            <w:r>
              <w:rPr>
                <w:rFonts w:ascii="Poppins" w:cs="Poppins" w:eastAsia="Poppins" w:hAnsi="Poppins"/>
                <w:b w:val="false"/>
                <w:bCs w:val="false"/>
                <w:color w:val="555555"/>
                <w:sz w:val="15"/>
                <w:szCs w:val="15"/>
              </w:rPr>
              <w:t xml:space="preserve">Sit with your full Business Readiness Document and mark what has proven correct and what has proven wrong. This is your most valuable planning document for the next quarter.</w:t>
            </w:r>
          </w:p>
          <w:p>
            <w:pPr>
              <w:spacing w:before="0" w:after="10"/>
              <w:jc w:val="left"/>
            </w:pPr>
            <w:r>
              <w:rPr>
                <w:rFonts w:ascii="Poppins" w:cs="Poppins" w:eastAsia="Poppins" w:hAnsi="Poppins"/>
                <w:b/>
                <w:bCs/>
                <w:color w:val="AFAFAF"/>
                <w:sz w:val="13"/>
                <w:szCs w:val="13"/>
              </w:rPr>
              <w:t xml:space="preserve">Your actions / notes this week:</w:t>
            </w:r>
          </w:p>
          <w:p>
            <w:pPr>
              <w:pBdr>
                <w:bottom w:val="single" w:color="C8C8C8" w:sz="6" w:space="3"/>
              </w:pBdr>
              <w:spacing w:before="0" w:after="30"/>
            </w:pPr>
          </w:p>
          <w:p>
            <w:pPr>
              <w:pBdr>
                <w:bottom w:val="single" w:color="C8C8C8" w:sz="6" w:space="3"/>
              </w:pBdr>
              <w:spacing w:before="0" w:after="30"/>
            </w:pP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MONTHLY SNAPSHOT</w:t>
            </w:r>
          </w:p>
          <w:p>
            <w:pPr>
              <w:spacing w:before="0" w:after="0"/>
              <w:jc w:val="left"/>
            </w:pPr>
            <w:r>
              <w:rPr>
                <w:rFonts w:ascii="Poppins" w:cs="Poppins" w:eastAsia="Poppins" w:hAnsi="Poppins"/>
                <w:b/>
                <w:bCs/>
                <w:color w:val="FFFFFF"/>
                <w:sz w:val="20"/>
                <w:szCs w:val="20"/>
              </w:rPr>
              <w:t xml:space="preserve">Track Your Core Metrics Each Month</w:t>
            </w:r>
          </w:p>
        </w:tc>
      </w:tr>
    </w:tbl>
    <w:p>
      <w:pPr>
        <w:spacing w:before="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152"/>
        <w:gridCol w:w="2152"/>
        <w:gridCol w:w="2061"/>
      </w:tblGrid>
      <w:tr>
        <w:tc>
          <w:tcPr>
            <w:tcW w:type="dxa" w:w="2995"/>
            <w:tcBorders>
              <w:top w:val="none" w:color="FFFFFF" w:sz="0"/>
              <w:left w:val="none" w:color="FFFFFF" w:sz="0"/>
              <w:bottom w:val="none" w:color="FFFFFF" w:sz="0"/>
              <w:right w:val="none" w:color="FFFFFF" w:sz="0"/>
            </w:tcBorders>
            <w:shd w:fill="155E63" w:val="clear"/>
            <w:tcMar>
              <w:top w:type="dxa" w:w="60"/>
              <w:left w:type="dxa" w:w="80"/>
              <w:bottom w:type="dxa" w:w="60"/>
              <w:right w:type="dxa" w:w="40"/>
            </w:tcMar>
            <w:vAlign w:val="top"/>
          </w:tcPr>
          <w:p>
            <w:pPr>
              <w:spacing w:before="0" w:after="0"/>
              <w:jc w:val="left"/>
            </w:pPr>
            <w:r>
              <w:rPr>
                <w:rFonts w:ascii="Poppins" w:cs="Poppins" w:eastAsia="Poppins" w:hAnsi="Poppins"/>
                <w:b/>
                <w:bCs/>
                <w:color w:val="FFFFFF"/>
                <w:sz w:val="14"/>
                <w:szCs w:val="14"/>
              </w:rPr>
              <w:t xml:space="preserve">Metric</w:t>
            </w:r>
          </w:p>
        </w:tc>
        <w:tc>
          <w:tcPr>
            <w:tcW w:type="dxa" w:w="2152"/>
            <w:tcBorders>
              <w:top w:val="none" w:color="FFFFFF" w:sz="0"/>
              <w:left w:val="single" w:color="FFFFFF" w:sz="2"/>
              <w:bottom w:val="none" w:color="FFFFFF" w:sz="0"/>
              <w:right w:val="none" w:color="FFFFFF" w:sz="0"/>
            </w:tcBorders>
            <w:shd w:fill="155E63" w:val="clear"/>
            <w:tcMar>
              <w:top w:type="dxa" w:w="60"/>
              <w:left w:type="dxa" w:w="40"/>
              <w:bottom w:type="dxa" w:w="60"/>
              <w:right w:type="dxa" w:w="40"/>
            </w:tcMar>
            <w:vAlign w:val="top"/>
          </w:tcPr>
          <w:p>
            <w:pPr>
              <w:spacing w:before="0" w:after="0"/>
              <w:jc w:val="center"/>
            </w:pPr>
            <w:r>
              <w:rPr>
                <w:rFonts w:ascii="Poppins" w:cs="Poppins" w:eastAsia="Poppins" w:hAnsi="Poppins"/>
                <w:b/>
                <w:bCs/>
                <w:color w:val="FFFFFF"/>
                <w:sz w:val="14"/>
                <w:szCs w:val="14"/>
              </w:rPr>
              <w:t xml:space="preserve">Month 1</w:t>
            </w:r>
          </w:p>
        </w:tc>
        <w:tc>
          <w:tcPr>
            <w:tcW w:type="dxa" w:w="2152"/>
            <w:tcBorders>
              <w:top w:val="none" w:color="FFFFFF" w:sz="0"/>
              <w:left w:val="single" w:color="FFFFFF" w:sz="2"/>
              <w:bottom w:val="none" w:color="FFFFFF" w:sz="0"/>
              <w:right w:val="none" w:color="FFFFFF" w:sz="0"/>
            </w:tcBorders>
            <w:shd w:fill="155E63" w:val="clear"/>
            <w:tcMar>
              <w:top w:type="dxa" w:w="60"/>
              <w:left w:type="dxa" w:w="40"/>
              <w:bottom w:type="dxa" w:w="60"/>
              <w:right w:type="dxa" w:w="40"/>
            </w:tcMar>
            <w:vAlign w:val="top"/>
          </w:tcPr>
          <w:p>
            <w:pPr>
              <w:spacing w:before="0" w:after="0"/>
              <w:jc w:val="center"/>
            </w:pPr>
            <w:r>
              <w:rPr>
                <w:rFonts w:ascii="Poppins" w:cs="Poppins" w:eastAsia="Poppins" w:hAnsi="Poppins"/>
                <w:b/>
                <w:bCs/>
                <w:color w:val="FFFFFF"/>
                <w:sz w:val="14"/>
                <w:szCs w:val="14"/>
              </w:rPr>
              <w:t xml:space="preserve">Month 2</w:t>
            </w:r>
          </w:p>
        </w:tc>
        <w:tc>
          <w:tcPr>
            <w:tcW w:type="dxa" w:w="2061"/>
            <w:tcBorders>
              <w:top w:val="none" w:color="FFFFFF" w:sz="0"/>
              <w:left w:val="single" w:color="FFFFFF" w:sz="2"/>
              <w:bottom w:val="none" w:color="FFFFFF" w:sz="0"/>
              <w:right w:val="none" w:color="FFFFFF" w:sz="0"/>
            </w:tcBorders>
            <w:shd w:fill="155E63" w:val="clear"/>
            <w:tcMar>
              <w:top w:type="dxa" w:w="60"/>
              <w:left w:type="dxa" w:w="40"/>
              <w:bottom w:type="dxa" w:w="60"/>
              <w:right w:type="dxa" w:w="80"/>
            </w:tcMar>
            <w:vAlign w:val="top"/>
          </w:tcPr>
          <w:p>
            <w:pPr>
              <w:spacing w:before="0" w:after="0"/>
              <w:jc w:val="center"/>
            </w:pPr>
            <w:r>
              <w:rPr>
                <w:rFonts w:ascii="Poppins" w:cs="Poppins" w:eastAsia="Poppins" w:hAnsi="Poppins"/>
                <w:b/>
                <w:bCs/>
                <w:color w:val="FFFFFF"/>
                <w:sz w:val="14"/>
                <w:szCs w:val="14"/>
              </w:rPr>
              <w:t xml:space="preserve">Month 3</w:t>
            </w:r>
          </w:p>
        </w:tc>
      </w:tr>
      <w:tr>
        <w:tc>
          <w:tcPr>
            <w:tcW w:type="dxa" w:w="2995"/>
            <w:tcBorders>
              <w:top w:val="none" w:color="FFFFFF" w:sz="0"/>
              <w:left w:val="single" w:color="CCCCCC" w:sz="2"/>
              <w:bottom w:val="single" w:color="DDDDDD" w:sz="2"/>
              <w:right w:val="none" w:color="FFFFFF" w:sz="0"/>
            </w:tcBorders>
            <w:shd w:fill="FFFFFF" w:val="clear"/>
            <w:tcMar>
              <w:top w:type="dxa" w:w="60"/>
              <w:left w:type="dxa" w:w="80"/>
              <w:bottom w:type="dxa" w:w="60"/>
              <w:right w:type="dxa" w:w="40"/>
            </w:tcMar>
            <w:vAlign w:val="center"/>
          </w:tcPr>
          <w:p>
            <w:pPr>
              <w:spacing w:before="0" w:after="0"/>
              <w:jc w:val="left"/>
            </w:pPr>
            <w:r>
              <w:rPr>
                <w:rFonts w:ascii="Poppins" w:cs="Poppins" w:eastAsia="Poppins" w:hAnsi="Poppins"/>
                <w:b/>
                <w:bCs/>
                <w:color w:val="155E63"/>
                <w:sz w:val="15"/>
                <w:szCs w:val="15"/>
              </w:rPr>
              <w:t xml:space="preserve">Monthly Revenue</w:t>
            </w:r>
          </w:p>
        </w:tc>
        <w:tc>
          <w:tcPr>
            <w:tcW w:type="dxa" w:w="2152"/>
            <w:tcBorders>
              <w:top w:val="none" w:color="FFFFFF" w:sz="0"/>
              <w:left w:val="single" w:color="DDDDDD" w:sz="2"/>
              <w:bottom w:val="single" w:color="DDDDDD" w:sz="2"/>
              <w:right w:val="none" w:color="FFFFFF" w:sz="0"/>
            </w:tcBorders>
            <w:shd w:fill="FFFFFF" w:val="clear"/>
            <w:tcMar>
              <w:top w:type="dxa" w:w="60"/>
              <w:left w:type="dxa" w:w="40"/>
              <w:bottom w:type="dxa" w:w="60"/>
              <w:right w:type="dxa" w:w="40"/>
            </w:tcMar>
            <w:vAlign w:val="top"/>
          </w:tcPr>
          <w:p>
            <w:pPr>
              <w:pBdr>
                <w:bottom w:val="single" w:color="C8C8C8" w:sz="6" w:space="3"/>
              </w:pBdr>
              <w:spacing w:before="0" w:after="30"/>
            </w:pPr>
          </w:p>
        </w:tc>
        <w:tc>
          <w:tcPr>
            <w:tcW w:type="dxa" w:w="2152"/>
            <w:tcBorders>
              <w:top w:val="none" w:color="FFFFFF" w:sz="0"/>
              <w:left w:val="single" w:color="DDDDDD" w:sz="2"/>
              <w:bottom w:val="single" w:color="DDDDDD" w:sz="2"/>
              <w:right w:val="none" w:color="FFFFFF" w:sz="0"/>
            </w:tcBorders>
            <w:shd w:fill="FFFFFF" w:val="clear"/>
            <w:tcMar>
              <w:top w:type="dxa" w:w="60"/>
              <w:left w:type="dxa" w:w="40"/>
              <w:bottom w:type="dxa" w:w="60"/>
              <w:right w:type="dxa" w:w="40"/>
            </w:tcMar>
            <w:vAlign w:val="top"/>
          </w:tcPr>
          <w:p>
            <w:pPr>
              <w:pBdr>
                <w:bottom w:val="single" w:color="C8C8C8" w:sz="6" w:space="3"/>
              </w:pBdr>
              <w:spacing w:before="0" w:after="30"/>
            </w:pPr>
          </w:p>
        </w:tc>
        <w:tc>
          <w:tcPr>
            <w:tcW w:type="dxa" w:w="2061"/>
            <w:tcBorders>
              <w:top w:val="none" w:color="FFFFFF" w:sz="0"/>
              <w:left w:val="single" w:color="DDDDDD" w:sz="2"/>
              <w:bottom w:val="single" w:color="DDDDDD" w:sz="2"/>
              <w:right w:val="single" w:color="CCCCCC" w:sz="2"/>
            </w:tcBorders>
            <w:shd w:fill="FFFFFF" w:val="clear"/>
            <w:tcMar>
              <w:top w:type="dxa" w:w="60"/>
              <w:left w:type="dxa" w:w="40"/>
              <w:bottom w:type="dxa" w:w="60"/>
              <w:right w:type="dxa" w:w="80"/>
            </w:tcMar>
            <w:vAlign w:val="top"/>
          </w:tcPr>
          <w:p>
            <w:pPr>
              <w:pBdr>
                <w:bottom w:val="single" w:color="C8C8C8" w:sz="6" w:space="3"/>
              </w:pBdr>
              <w:spacing w:before="0" w:after="30"/>
            </w:pPr>
          </w:p>
        </w:tc>
      </w:tr>
      <w:tr>
        <w:tc>
          <w:tcPr>
            <w:tcW w:type="dxa" w:w="2995"/>
            <w:tcBorders>
              <w:top w:val="none" w:color="FFFFFF" w:sz="0"/>
              <w:left w:val="single" w:color="CCCCCC" w:sz="2"/>
              <w:bottom w:val="single" w:color="DDDDDD" w:sz="2"/>
              <w:right w:val="none" w:color="FFFFFF" w:sz="0"/>
            </w:tcBorders>
            <w:shd w:fill="EFEFEF" w:val="clear"/>
            <w:tcMar>
              <w:top w:type="dxa" w:w="60"/>
              <w:left w:type="dxa" w:w="80"/>
              <w:bottom w:type="dxa" w:w="60"/>
              <w:right w:type="dxa" w:w="40"/>
            </w:tcMar>
            <w:vAlign w:val="center"/>
          </w:tcPr>
          <w:p>
            <w:pPr>
              <w:spacing w:before="0" w:after="0"/>
              <w:jc w:val="left"/>
            </w:pPr>
            <w:r>
              <w:rPr>
                <w:rFonts w:ascii="Poppins" w:cs="Poppins" w:eastAsia="Poppins" w:hAnsi="Poppins"/>
                <w:b/>
                <w:bCs/>
                <w:color w:val="155E63"/>
                <w:sz w:val="15"/>
                <w:szCs w:val="15"/>
              </w:rPr>
              <w:t xml:space="preserve">Avg. Daily Revenue</w:t>
            </w:r>
          </w:p>
        </w:tc>
        <w:tc>
          <w:tcPr>
            <w:tcW w:type="dxa" w:w="2152"/>
            <w:tcBorders>
              <w:top w:val="none" w:color="FFFFFF" w:sz="0"/>
              <w:left w:val="single" w:color="DDDDDD" w:sz="2"/>
              <w:bottom w:val="single" w:color="DDDDDD" w:sz="2"/>
              <w:right w:val="none" w:color="FFFFFF" w:sz="0"/>
            </w:tcBorders>
            <w:shd w:fill="EFEFEF" w:val="clear"/>
            <w:tcMar>
              <w:top w:type="dxa" w:w="60"/>
              <w:left w:type="dxa" w:w="40"/>
              <w:bottom w:type="dxa" w:w="60"/>
              <w:right w:type="dxa" w:w="40"/>
            </w:tcMar>
            <w:vAlign w:val="top"/>
          </w:tcPr>
          <w:p>
            <w:pPr>
              <w:pBdr>
                <w:bottom w:val="single" w:color="C8C8C8" w:sz="6" w:space="3"/>
              </w:pBdr>
              <w:spacing w:before="0" w:after="30"/>
            </w:pPr>
          </w:p>
        </w:tc>
        <w:tc>
          <w:tcPr>
            <w:tcW w:type="dxa" w:w="2152"/>
            <w:tcBorders>
              <w:top w:val="none" w:color="FFFFFF" w:sz="0"/>
              <w:left w:val="single" w:color="DDDDDD" w:sz="2"/>
              <w:bottom w:val="single" w:color="DDDDDD" w:sz="2"/>
              <w:right w:val="none" w:color="FFFFFF" w:sz="0"/>
            </w:tcBorders>
            <w:shd w:fill="EFEFEF" w:val="clear"/>
            <w:tcMar>
              <w:top w:type="dxa" w:w="60"/>
              <w:left w:type="dxa" w:w="40"/>
              <w:bottom w:type="dxa" w:w="60"/>
              <w:right w:type="dxa" w:w="40"/>
            </w:tcMar>
            <w:vAlign w:val="top"/>
          </w:tcPr>
          <w:p>
            <w:pPr>
              <w:pBdr>
                <w:bottom w:val="single" w:color="C8C8C8" w:sz="6" w:space="3"/>
              </w:pBdr>
              <w:spacing w:before="0" w:after="30"/>
            </w:pPr>
          </w:p>
        </w:tc>
        <w:tc>
          <w:tcPr>
            <w:tcW w:type="dxa" w:w="2061"/>
            <w:tcBorders>
              <w:top w:val="none" w:color="FFFFFF" w:sz="0"/>
              <w:left w:val="single" w:color="DDDDDD" w:sz="2"/>
              <w:bottom w:val="single" w:color="DDDDDD" w:sz="2"/>
              <w:right w:val="single" w:color="CCCCCC" w:sz="2"/>
            </w:tcBorders>
            <w:shd w:fill="EFEFEF" w:val="clear"/>
            <w:tcMar>
              <w:top w:type="dxa" w:w="60"/>
              <w:left w:type="dxa" w:w="40"/>
              <w:bottom w:type="dxa" w:w="60"/>
              <w:right w:type="dxa" w:w="80"/>
            </w:tcMar>
            <w:vAlign w:val="top"/>
          </w:tcPr>
          <w:p>
            <w:pPr>
              <w:pBdr>
                <w:bottom w:val="single" w:color="C8C8C8" w:sz="6" w:space="3"/>
              </w:pBdr>
              <w:spacing w:before="0" w:after="30"/>
            </w:pPr>
          </w:p>
        </w:tc>
      </w:tr>
      <w:tr>
        <w:tc>
          <w:tcPr>
            <w:tcW w:type="dxa" w:w="2995"/>
            <w:tcBorders>
              <w:top w:val="none" w:color="FFFFFF" w:sz="0"/>
              <w:left w:val="single" w:color="CCCCCC" w:sz="2"/>
              <w:bottom w:val="single" w:color="DDDDDD" w:sz="2"/>
              <w:right w:val="none" w:color="FFFFFF" w:sz="0"/>
            </w:tcBorders>
            <w:shd w:fill="FFFFFF" w:val="clear"/>
            <w:tcMar>
              <w:top w:type="dxa" w:w="60"/>
              <w:left w:type="dxa" w:w="80"/>
              <w:bottom w:type="dxa" w:w="60"/>
              <w:right w:type="dxa" w:w="40"/>
            </w:tcMar>
            <w:vAlign w:val="center"/>
          </w:tcPr>
          <w:p>
            <w:pPr>
              <w:spacing w:before="0" w:after="0"/>
              <w:jc w:val="left"/>
            </w:pPr>
            <w:r>
              <w:rPr>
                <w:rFonts w:ascii="Poppins" w:cs="Poppins" w:eastAsia="Poppins" w:hAnsi="Poppins"/>
                <w:b/>
                <w:bCs/>
                <w:color w:val="155E63"/>
                <w:sz w:val="15"/>
                <w:szCs w:val="15"/>
              </w:rPr>
              <w:t xml:space="preserve">COGS %</w:t>
            </w:r>
          </w:p>
        </w:tc>
        <w:tc>
          <w:tcPr>
            <w:tcW w:type="dxa" w:w="2152"/>
            <w:tcBorders>
              <w:top w:val="none" w:color="FFFFFF" w:sz="0"/>
              <w:left w:val="single" w:color="DDDDDD" w:sz="2"/>
              <w:bottom w:val="single" w:color="DDDDDD" w:sz="2"/>
              <w:right w:val="none" w:color="FFFFFF" w:sz="0"/>
            </w:tcBorders>
            <w:shd w:fill="FFFFFF" w:val="clear"/>
            <w:tcMar>
              <w:top w:type="dxa" w:w="60"/>
              <w:left w:type="dxa" w:w="40"/>
              <w:bottom w:type="dxa" w:w="60"/>
              <w:right w:type="dxa" w:w="40"/>
            </w:tcMar>
            <w:vAlign w:val="top"/>
          </w:tcPr>
          <w:p>
            <w:pPr>
              <w:pBdr>
                <w:bottom w:val="single" w:color="C8C8C8" w:sz="6" w:space="3"/>
              </w:pBdr>
              <w:spacing w:before="0" w:after="30"/>
            </w:pPr>
          </w:p>
        </w:tc>
        <w:tc>
          <w:tcPr>
            <w:tcW w:type="dxa" w:w="2152"/>
            <w:tcBorders>
              <w:top w:val="none" w:color="FFFFFF" w:sz="0"/>
              <w:left w:val="single" w:color="DDDDDD" w:sz="2"/>
              <w:bottom w:val="single" w:color="DDDDDD" w:sz="2"/>
              <w:right w:val="none" w:color="FFFFFF" w:sz="0"/>
            </w:tcBorders>
            <w:shd w:fill="FFFFFF" w:val="clear"/>
            <w:tcMar>
              <w:top w:type="dxa" w:w="60"/>
              <w:left w:type="dxa" w:w="40"/>
              <w:bottom w:type="dxa" w:w="60"/>
              <w:right w:type="dxa" w:w="40"/>
            </w:tcMar>
            <w:vAlign w:val="top"/>
          </w:tcPr>
          <w:p>
            <w:pPr>
              <w:pBdr>
                <w:bottom w:val="single" w:color="C8C8C8" w:sz="6" w:space="3"/>
              </w:pBdr>
              <w:spacing w:before="0" w:after="30"/>
            </w:pPr>
          </w:p>
        </w:tc>
        <w:tc>
          <w:tcPr>
            <w:tcW w:type="dxa" w:w="2061"/>
            <w:tcBorders>
              <w:top w:val="none" w:color="FFFFFF" w:sz="0"/>
              <w:left w:val="single" w:color="DDDDDD" w:sz="2"/>
              <w:bottom w:val="single" w:color="DDDDDD" w:sz="2"/>
              <w:right w:val="single" w:color="CCCCCC" w:sz="2"/>
            </w:tcBorders>
            <w:shd w:fill="FFFFFF" w:val="clear"/>
            <w:tcMar>
              <w:top w:type="dxa" w:w="60"/>
              <w:left w:type="dxa" w:w="40"/>
              <w:bottom w:type="dxa" w:w="60"/>
              <w:right w:type="dxa" w:w="80"/>
            </w:tcMar>
            <w:vAlign w:val="top"/>
          </w:tcPr>
          <w:p>
            <w:pPr>
              <w:pBdr>
                <w:bottom w:val="single" w:color="C8C8C8" w:sz="6" w:space="3"/>
              </w:pBdr>
              <w:spacing w:before="0" w:after="30"/>
            </w:pPr>
          </w:p>
        </w:tc>
      </w:tr>
      <w:tr>
        <w:tc>
          <w:tcPr>
            <w:tcW w:type="dxa" w:w="2995"/>
            <w:tcBorders>
              <w:top w:val="none" w:color="FFFFFF" w:sz="0"/>
              <w:left w:val="single" w:color="CCCCCC" w:sz="2"/>
              <w:bottom w:val="single" w:color="DDDDDD" w:sz="2"/>
              <w:right w:val="none" w:color="FFFFFF" w:sz="0"/>
            </w:tcBorders>
            <w:shd w:fill="EFEFEF" w:val="clear"/>
            <w:tcMar>
              <w:top w:type="dxa" w:w="60"/>
              <w:left w:type="dxa" w:w="80"/>
              <w:bottom w:type="dxa" w:w="60"/>
              <w:right w:type="dxa" w:w="40"/>
            </w:tcMar>
            <w:vAlign w:val="center"/>
          </w:tcPr>
          <w:p>
            <w:pPr>
              <w:spacing w:before="0" w:after="0"/>
              <w:jc w:val="left"/>
            </w:pPr>
            <w:r>
              <w:rPr>
                <w:rFonts w:ascii="Poppins" w:cs="Poppins" w:eastAsia="Poppins" w:hAnsi="Poppins"/>
                <w:b/>
                <w:bCs/>
                <w:color w:val="155E63"/>
                <w:sz w:val="15"/>
                <w:szCs w:val="15"/>
              </w:rPr>
              <w:t xml:space="preserve">Labour %</w:t>
            </w:r>
          </w:p>
        </w:tc>
        <w:tc>
          <w:tcPr>
            <w:tcW w:type="dxa" w:w="2152"/>
            <w:tcBorders>
              <w:top w:val="none" w:color="FFFFFF" w:sz="0"/>
              <w:left w:val="single" w:color="DDDDDD" w:sz="2"/>
              <w:bottom w:val="single" w:color="DDDDDD" w:sz="2"/>
              <w:right w:val="none" w:color="FFFFFF" w:sz="0"/>
            </w:tcBorders>
            <w:shd w:fill="EFEFEF" w:val="clear"/>
            <w:tcMar>
              <w:top w:type="dxa" w:w="60"/>
              <w:left w:type="dxa" w:w="40"/>
              <w:bottom w:type="dxa" w:w="60"/>
              <w:right w:type="dxa" w:w="40"/>
            </w:tcMar>
            <w:vAlign w:val="top"/>
          </w:tcPr>
          <w:p>
            <w:pPr>
              <w:pBdr>
                <w:bottom w:val="single" w:color="C8C8C8" w:sz="6" w:space="3"/>
              </w:pBdr>
              <w:spacing w:before="0" w:after="30"/>
            </w:pPr>
          </w:p>
        </w:tc>
        <w:tc>
          <w:tcPr>
            <w:tcW w:type="dxa" w:w="2152"/>
            <w:tcBorders>
              <w:top w:val="none" w:color="FFFFFF" w:sz="0"/>
              <w:left w:val="single" w:color="DDDDDD" w:sz="2"/>
              <w:bottom w:val="single" w:color="DDDDDD" w:sz="2"/>
              <w:right w:val="none" w:color="FFFFFF" w:sz="0"/>
            </w:tcBorders>
            <w:shd w:fill="EFEFEF" w:val="clear"/>
            <w:tcMar>
              <w:top w:type="dxa" w:w="60"/>
              <w:left w:type="dxa" w:w="40"/>
              <w:bottom w:type="dxa" w:w="60"/>
              <w:right w:type="dxa" w:w="40"/>
            </w:tcMar>
            <w:vAlign w:val="top"/>
          </w:tcPr>
          <w:p>
            <w:pPr>
              <w:pBdr>
                <w:bottom w:val="single" w:color="C8C8C8" w:sz="6" w:space="3"/>
              </w:pBdr>
              <w:spacing w:before="0" w:after="30"/>
            </w:pPr>
          </w:p>
        </w:tc>
        <w:tc>
          <w:tcPr>
            <w:tcW w:type="dxa" w:w="2061"/>
            <w:tcBorders>
              <w:top w:val="none" w:color="FFFFFF" w:sz="0"/>
              <w:left w:val="single" w:color="DDDDDD" w:sz="2"/>
              <w:bottom w:val="single" w:color="DDDDDD" w:sz="2"/>
              <w:right w:val="single" w:color="CCCCCC" w:sz="2"/>
            </w:tcBorders>
            <w:shd w:fill="EFEFEF" w:val="clear"/>
            <w:tcMar>
              <w:top w:type="dxa" w:w="60"/>
              <w:left w:type="dxa" w:w="40"/>
              <w:bottom w:type="dxa" w:w="60"/>
              <w:right w:type="dxa" w:w="80"/>
            </w:tcMar>
            <w:vAlign w:val="top"/>
          </w:tcPr>
          <w:p>
            <w:pPr>
              <w:pBdr>
                <w:bottom w:val="single" w:color="C8C8C8" w:sz="6" w:space="3"/>
              </w:pBdr>
              <w:spacing w:before="0" w:after="30"/>
            </w:pPr>
          </w:p>
        </w:tc>
      </w:tr>
      <w:tr>
        <w:tc>
          <w:tcPr>
            <w:tcW w:type="dxa" w:w="2995"/>
            <w:tcBorders>
              <w:top w:val="none" w:color="FFFFFF" w:sz="0"/>
              <w:left w:val="single" w:color="CCCCCC" w:sz="2"/>
              <w:bottom w:val="single" w:color="DDDDDD" w:sz="2"/>
              <w:right w:val="none" w:color="FFFFFF" w:sz="0"/>
            </w:tcBorders>
            <w:shd w:fill="FFFFFF" w:val="clear"/>
            <w:tcMar>
              <w:top w:type="dxa" w:w="60"/>
              <w:left w:type="dxa" w:w="80"/>
              <w:bottom w:type="dxa" w:w="60"/>
              <w:right w:type="dxa" w:w="40"/>
            </w:tcMar>
            <w:vAlign w:val="center"/>
          </w:tcPr>
          <w:p>
            <w:pPr>
              <w:spacing w:before="0" w:after="0"/>
              <w:jc w:val="left"/>
            </w:pPr>
            <w:r>
              <w:rPr>
                <w:rFonts w:ascii="Poppins" w:cs="Poppins" w:eastAsia="Poppins" w:hAnsi="Poppins"/>
                <w:b/>
                <w:bCs/>
                <w:color w:val="155E63"/>
                <w:sz w:val="15"/>
                <w:szCs w:val="15"/>
              </w:rPr>
              <w:t xml:space="preserve">Avg. Transaction Value</w:t>
            </w:r>
          </w:p>
        </w:tc>
        <w:tc>
          <w:tcPr>
            <w:tcW w:type="dxa" w:w="2152"/>
            <w:tcBorders>
              <w:top w:val="none" w:color="FFFFFF" w:sz="0"/>
              <w:left w:val="single" w:color="DDDDDD" w:sz="2"/>
              <w:bottom w:val="single" w:color="DDDDDD" w:sz="2"/>
              <w:right w:val="none" w:color="FFFFFF" w:sz="0"/>
            </w:tcBorders>
            <w:shd w:fill="FFFFFF" w:val="clear"/>
            <w:tcMar>
              <w:top w:type="dxa" w:w="60"/>
              <w:left w:type="dxa" w:w="40"/>
              <w:bottom w:type="dxa" w:w="60"/>
              <w:right w:type="dxa" w:w="40"/>
            </w:tcMar>
            <w:vAlign w:val="top"/>
          </w:tcPr>
          <w:p>
            <w:pPr>
              <w:pBdr>
                <w:bottom w:val="single" w:color="C8C8C8" w:sz="6" w:space="3"/>
              </w:pBdr>
              <w:spacing w:before="0" w:after="30"/>
            </w:pPr>
          </w:p>
        </w:tc>
        <w:tc>
          <w:tcPr>
            <w:tcW w:type="dxa" w:w="2152"/>
            <w:tcBorders>
              <w:top w:val="none" w:color="FFFFFF" w:sz="0"/>
              <w:left w:val="single" w:color="DDDDDD" w:sz="2"/>
              <w:bottom w:val="single" w:color="DDDDDD" w:sz="2"/>
              <w:right w:val="none" w:color="FFFFFF" w:sz="0"/>
            </w:tcBorders>
            <w:shd w:fill="FFFFFF" w:val="clear"/>
            <w:tcMar>
              <w:top w:type="dxa" w:w="60"/>
              <w:left w:type="dxa" w:w="40"/>
              <w:bottom w:type="dxa" w:w="60"/>
              <w:right w:type="dxa" w:w="40"/>
            </w:tcMar>
            <w:vAlign w:val="top"/>
          </w:tcPr>
          <w:p>
            <w:pPr>
              <w:pBdr>
                <w:bottom w:val="single" w:color="C8C8C8" w:sz="6" w:space="3"/>
              </w:pBdr>
              <w:spacing w:before="0" w:after="30"/>
            </w:pPr>
          </w:p>
        </w:tc>
        <w:tc>
          <w:tcPr>
            <w:tcW w:type="dxa" w:w="2061"/>
            <w:tcBorders>
              <w:top w:val="none" w:color="FFFFFF" w:sz="0"/>
              <w:left w:val="single" w:color="DDDDDD" w:sz="2"/>
              <w:bottom w:val="single" w:color="DDDDDD" w:sz="2"/>
              <w:right w:val="single" w:color="CCCCCC" w:sz="2"/>
            </w:tcBorders>
            <w:shd w:fill="FFFFFF" w:val="clear"/>
            <w:tcMar>
              <w:top w:type="dxa" w:w="60"/>
              <w:left w:type="dxa" w:w="40"/>
              <w:bottom w:type="dxa" w:w="60"/>
              <w:right w:type="dxa" w:w="80"/>
            </w:tcMar>
            <w:vAlign w:val="top"/>
          </w:tcPr>
          <w:p>
            <w:pPr>
              <w:pBdr>
                <w:bottom w:val="single" w:color="C8C8C8" w:sz="6" w:space="3"/>
              </w:pBdr>
              <w:spacing w:before="0" w:after="30"/>
            </w:pPr>
          </w:p>
        </w:tc>
      </w:tr>
      <w:tr>
        <w:tc>
          <w:tcPr>
            <w:tcW w:type="dxa" w:w="2995"/>
            <w:tcBorders>
              <w:top w:val="none" w:color="FFFFFF" w:sz="0"/>
              <w:left w:val="single" w:color="CCCCCC" w:sz="2"/>
              <w:bottom w:val="single" w:color="DDDDDD" w:sz="2"/>
              <w:right w:val="none" w:color="FFFFFF" w:sz="0"/>
            </w:tcBorders>
            <w:shd w:fill="EFEFEF" w:val="clear"/>
            <w:tcMar>
              <w:top w:type="dxa" w:w="60"/>
              <w:left w:type="dxa" w:w="80"/>
              <w:bottom w:type="dxa" w:w="60"/>
              <w:right w:type="dxa" w:w="40"/>
            </w:tcMar>
            <w:vAlign w:val="center"/>
          </w:tcPr>
          <w:p>
            <w:pPr>
              <w:spacing w:before="0" w:after="0"/>
              <w:jc w:val="left"/>
            </w:pPr>
            <w:r>
              <w:rPr>
                <w:rFonts w:ascii="Poppins" w:cs="Poppins" w:eastAsia="Poppins" w:hAnsi="Poppins"/>
                <w:b/>
                <w:bCs/>
                <w:color w:val="155E63"/>
                <w:sz w:val="15"/>
                <w:szCs w:val="15"/>
              </w:rPr>
              <w:t xml:space="preserve">Projected Revenue (Week 2)</w:t>
            </w:r>
          </w:p>
        </w:tc>
        <w:tc>
          <w:tcPr>
            <w:tcW w:type="dxa" w:w="2152"/>
            <w:tcBorders>
              <w:top w:val="none" w:color="FFFFFF" w:sz="0"/>
              <w:left w:val="single" w:color="DDDDDD" w:sz="2"/>
              <w:bottom w:val="single" w:color="DDDDDD" w:sz="2"/>
              <w:right w:val="none" w:color="FFFFFF" w:sz="0"/>
            </w:tcBorders>
            <w:shd w:fill="EFEFEF" w:val="clear"/>
            <w:tcMar>
              <w:top w:type="dxa" w:w="60"/>
              <w:left w:type="dxa" w:w="40"/>
              <w:bottom w:type="dxa" w:w="60"/>
              <w:right w:type="dxa" w:w="40"/>
            </w:tcMar>
            <w:vAlign w:val="top"/>
          </w:tcPr>
          <w:p>
            <w:pPr>
              <w:pBdr>
                <w:bottom w:val="single" w:color="C8C8C8" w:sz="6" w:space="3"/>
              </w:pBdr>
              <w:spacing w:before="0" w:after="30"/>
            </w:pPr>
          </w:p>
        </w:tc>
        <w:tc>
          <w:tcPr>
            <w:tcW w:type="dxa" w:w="2152"/>
            <w:tcBorders>
              <w:top w:val="none" w:color="FFFFFF" w:sz="0"/>
              <w:left w:val="single" w:color="DDDDDD" w:sz="2"/>
              <w:bottom w:val="single" w:color="DDDDDD" w:sz="2"/>
              <w:right w:val="none" w:color="FFFFFF" w:sz="0"/>
            </w:tcBorders>
            <w:shd w:fill="EFEFEF" w:val="clear"/>
            <w:tcMar>
              <w:top w:type="dxa" w:w="60"/>
              <w:left w:type="dxa" w:w="40"/>
              <w:bottom w:type="dxa" w:w="60"/>
              <w:right w:type="dxa" w:w="40"/>
            </w:tcMar>
            <w:vAlign w:val="top"/>
          </w:tcPr>
          <w:p>
            <w:pPr>
              <w:pBdr>
                <w:bottom w:val="single" w:color="C8C8C8" w:sz="6" w:space="3"/>
              </w:pBdr>
              <w:spacing w:before="0" w:after="30"/>
            </w:pPr>
          </w:p>
        </w:tc>
        <w:tc>
          <w:tcPr>
            <w:tcW w:type="dxa" w:w="2061"/>
            <w:tcBorders>
              <w:top w:val="none" w:color="FFFFFF" w:sz="0"/>
              <w:left w:val="single" w:color="DDDDDD" w:sz="2"/>
              <w:bottom w:val="single" w:color="DDDDDD" w:sz="2"/>
              <w:right w:val="single" w:color="CCCCCC" w:sz="2"/>
            </w:tcBorders>
            <w:shd w:fill="EFEFEF" w:val="clear"/>
            <w:tcMar>
              <w:top w:type="dxa" w:w="60"/>
              <w:left w:type="dxa" w:w="40"/>
              <w:bottom w:type="dxa" w:w="60"/>
              <w:right w:type="dxa" w:w="80"/>
            </w:tcMar>
            <w:vAlign w:val="top"/>
          </w:tcPr>
          <w:p>
            <w:pPr>
              <w:pBdr>
                <w:bottom w:val="single" w:color="C8C8C8" w:sz="6" w:space="3"/>
              </w:pBdr>
              <w:spacing w:before="0" w:after="30"/>
            </w:pPr>
          </w:p>
        </w:tc>
      </w:tr>
    </w:tbl>
    <w:p>
      <w:pPr>
        <w:spacing w:before="0" w:after="80"/>
      </w:pPr>
    </w:p>
    <w:p>
      <w:pPr>
        <w:spacing w:before="0" w:after="0"/>
        <w:jc w:val="center"/>
      </w:pPr>
      <w:r>
        <w:rPr>
          <w:rFonts w:ascii="Poppins" w:cs="Poppins" w:eastAsia="Poppins" w:hAnsi="Poppins"/>
          <w:b w:val="false"/>
          <w:bCs w:val="false"/>
          <w:color w:val="AFAFAF"/>
          <w:sz w:val="14"/>
          <w:szCs w:val="14"/>
        </w:rPr>
        <w:t xml:space="preserve">Timberline Coffee School  |  Coffee Shop Basecamp  |  Week 8  |  90-Day Operations Tracker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2026-02-20T08:44:06.619Z</dcterms:created>
  <dcterms:modified xsi:type="dcterms:W3CDTF">2026-02-20T08:44:06.619Z</dcterms:modified>
</cp:coreProperties>
</file>

<file path=docProps/custom.xml><?xml version="1.0" encoding="utf-8"?>
<Properties xmlns="http://schemas.openxmlformats.org/officeDocument/2006/custom-properties" xmlns:vt="http://schemas.openxmlformats.org/officeDocument/2006/docPropsVTypes"/>
</file>