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Produktplan BetterSquad – aktueller Stand</w:t>
      </w:r>
    </w:p>
    <w:p>
      <w:pPr>
        <w:pStyle w:val="Heading1"/>
      </w:pPr>
      <w:r>
        <w:rPr>
          <w:b/>
        </w:rPr>
        <w:t xml:space="preserve">3.1  Beschreibung des Produktes / der Dienstleistung</w:t>
      </w:r>
    </w:p>
    <w:p>
      <w:r>
        <w:t xml:space="preserve">BetterSquad ist eine integrierte GPS- und Recovery-Plattform für den Amateur- und Semiprofifußball (Zielgruppe z. B. Regionalliga/Ober-/Verbandsliga, Beispielverein im Prototyp: FC Viktoria Köln, Regionalliga West). Das Produkt bringt sportwissenschaftliche Bundesliga-Methodik zu einem Bruchteil der Kosten in den Amateurbereich.</w:t>
      </w:r>
    </w:p>
    <w:p>
      <w:r>
        <w:t xml:space="preserve">Das Angebot besteht aus drei Komponenten:</w:t>
      </w:r>
    </w:p>
    <w:p>
      <w:pPr>
        <w:pStyle w:val="ListParagraph"/>
        <w:numPr>
          <w:ilvl w:val="0"/>
          <w:numId w:val="1"/>
        </w:numPr>
      </w:pPr>
      <w:r>
        <w:t xml:space="preserve">Hardware (im Pool-Modell): GPS-Tracker und Polar-H10-Pulsgurte, die als Vereins-Pool bereitgestellt werden (inkl. Ersatzbändern und Verwaltung von Verfügbarkeit/Wartung).</w:t>
      </w:r>
    </w:p>
    <w:p>
      <w:pPr>
        <w:pStyle w:val="ListParagraph"/>
        <w:numPr>
          <w:ilvl w:val="0"/>
          <w:numId w:val="1"/>
        </w:numPr>
      </w:pPr>
      <w:r>
        <w:t xml:space="preserve">Trainer-Dashboard (Web): Squad-Ampel mit Risiko-Einstufung je Spieler (grün/gelb/rot), ACWR-Belastungssteuerung auf Team- und Spielerebene inkl. 21-Tage-Verlaufschart, HRV-Recovery-Monitoring, KI-Trainingsempfehlungen vor jeder Einheit, Session Planner mit Kaderverfügbarkeits-Matrix und Export, sowie Equipment-Pool-Verwaltung.</w:t>
      </w:r>
    </w:p>
    <w:p>
      <w:pPr>
        <w:pStyle w:val="ListParagraph"/>
        <w:numPr>
          <w:ilvl w:val="0"/>
          <w:numId w:val="1"/>
        </w:numPr>
      </w:pPr>
      <w:r>
        <w:t xml:space="preserve">Spieler-App (Mobile): tägliche Readiness-Anzeige (ACWR + Hooper-Score), Wellness-Check-in über die Hooper-Skala (Schlaf, Muskelkater, Müdigkeit, Stimmung), QR-Scan zur Zuweisung von Tracker und Pulsgurt sowie persönliche Statistiken (Distanz, Sprints, Höchstgeschwindigkeit, High-Intensity-Runs).</w:t>
      </w:r>
    </w:p>
    <w:p>
      <w:r>
        <w:t xml:space="preserve">Geschäftsmodell: SaaS-Abo mit Hardware-Anzahlung, gestaffelt in drei Pakete:</w:t>
      </w:r>
    </w:p>
    <w:p>
      <w:pPr>
        <w:pStyle w:val="ListParagraph"/>
        <w:numPr>
          <w:ilvl w:val="0"/>
          <w:numId w:val="1"/>
        </w:numPr>
      </w:pPr>
      <w:r>
        <w:t xml:space="preserve">Starter – 219 €/Mon. + 2.200 € Anzahlung · 15 Tracker · bis 2 Mannschaften</w:t>
      </w:r>
    </w:p>
    <w:p>
      <w:pPr>
        <w:pStyle w:val="ListParagraph"/>
        <w:numPr>
          <w:ilvl w:val="0"/>
          <w:numId w:val="1"/>
        </w:numPr>
      </w:pPr>
      <w:r>
        <w:t xml:space="preserve">Pro (beliebteste Wahl) – 349 €/Mon. + 3.200 € · 25 Tracker · bis 4 Mannschaften</w:t>
      </w:r>
    </w:p>
    <w:p>
      <w:pPr>
        <w:pStyle w:val="ListParagraph"/>
        <w:numPr>
          <w:ilvl w:val="0"/>
          <w:numId w:val="1"/>
        </w:numPr>
      </w:pPr>
      <w:r>
        <w:t xml:space="preserve">Elite – 459 €/Mon. + 4.200 € · 35 Tracker · unbegrenzt Mannschaften</w:t>
      </w:r>
    </w:p>
    <w:p>
      <w:r>
        <w:t xml:space="preserve">Rahmenbedingungen: 48 Monate Mindestlaufzeit, DSGVO-konform, Serverstandort Deutschland.</w:t>
      </w:r>
    </w:p>
    <w:p>
      <w:pPr>
        <w:pStyle w:val="Heading1"/>
      </w:pPr>
      <w:r>
        <w:rPr>
          <w:b/>
        </w:rPr>
        <w:t xml:space="preserve">3.2  Unique Selling Proposition (USP)</w:t>
      </w:r>
    </w:p>
    <w:p>
      <w:r>
        <w:t xml:space="preserve">Der Kern-USP lautet: „Investiere in deinen Kader, nicht in einzelne Spieler.“ Konkret differenzierend:</w:t>
      </w:r>
    </w:p>
    <w:p>
      <w:pPr>
        <w:pStyle w:val="ListParagraph"/>
        <w:numPr>
          <w:ilvl w:val="0"/>
          <w:numId w:val="1"/>
        </w:numPr>
      </w:pPr>
      <w:r>
        <w:t xml:space="preserve">Erste integrierte GPS-+-Recovery-Plattform speziell für den Amateurfußball – externe Last (GPS) und interne Last (HRV/Hooper) werden kombiniert betrachtet, nicht isoliert.</w:t>
      </w:r>
    </w:p>
    <w:p>
      <w:pPr>
        <w:pStyle w:val="ListParagraph"/>
        <w:numPr>
          <w:ilvl w:val="0"/>
          <w:numId w:val="1"/>
        </w:numPr>
      </w:pPr>
      <w:r>
        <w:t xml:space="preserve">Radikaler Preisvorteil: ca. 219 €/Monat statt ~15.000 $/Jahr für vergleichbare Profi-Systeme.</w:t>
      </w:r>
    </w:p>
    <w:p>
      <w:pPr>
        <w:pStyle w:val="ListParagraph"/>
        <w:numPr>
          <w:ilvl w:val="0"/>
          <w:numId w:val="1"/>
        </w:numPr>
      </w:pPr>
      <w:r>
        <w:t xml:space="preserve">Pool-/Vereinslizenz-Modell: eine Lizenz für alle Mannschaften (Männer, Frauen, Jugend) – Hardware rotiert im Pool statt teurer Einzelausstattung pro Spieler.</w:t>
      </w:r>
    </w:p>
    <w:p>
      <w:pPr>
        <w:pStyle w:val="ListParagraph"/>
        <w:numPr>
          <w:ilvl w:val="0"/>
          <w:numId w:val="1"/>
        </w:numPr>
      </w:pPr>
      <w:r>
        <w:t xml:space="preserve">Wissenschaftliche Fundierung: ACWR-Steuerung nach Gabbett et al., proaktive Warnung ab ACWR &gt; 1,3.</w:t>
      </w:r>
    </w:p>
    <w:p>
      <w:pPr>
        <w:pStyle w:val="ListParagraph"/>
        <w:numPr>
          <w:ilvl w:val="0"/>
          <w:numId w:val="1"/>
        </w:numPr>
      </w:pPr>
      <w:r>
        <w:t xml:space="preserve">KI-gestützte Verletzungsprävention ohne Sportwissenschaftler vor Ort – Empfehlungen und Asymmetrie-Erkennung zeigen Risiken laut Positionierung 5–10 Tage früher.</w:t>
      </w:r>
    </w:p>
    <w:p>
      <w:pPr>
        <w:pStyle w:val="ListParagraph"/>
        <w:numPr>
          <w:ilvl w:val="0"/>
          <w:numId w:val="1"/>
        </w:numPr>
      </w:pPr>
      <w:r>
        <w:t xml:space="preserve">DSGVO-Konformität / „Made in Germany“ als Vertrauens- und Verkaufsargument.</w:t>
      </w:r>
    </w:p>
    <w:p>
      <w:r>
        <w:t xml:space="preserve">Geschäftsmodell-Kennzahlen aus der Positionierung: Ziel 85 Vereine in Jahr 3, LTV/CAC ≈ 14:1.</w:t>
      </w:r>
    </w:p>
    <w:p>
      <w:pPr>
        <w:pStyle w:val="Heading1"/>
      </w:pPr>
      <w:r>
        <w:rPr>
          <w:b/>
        </w:rPr>
        <w:t xml:space="preserve">3.3  Entwicklungsstand und -schritte</w:t>
      </w:r>
    </w:p>
    <w:p>
      <w:r>
        <w:t xml:space="preserve">Aktueller Stand: funktionsfähiger Frontend-Prototyp (Klick-Demo für den Pitch).</w:t>
      </w:r>
    </w:p>
    <w:p>
      <w:pPr>
        <w:pStyle w:val="ListParagraph"/>
        <w:numPr>
          <w:ilvl w:val="0"/>
          <w:numId w:val="1"/>
        </w:numPr>
      </w:pPr>
      <w:r>
        <w:t xml:space="preserve">Technologie: Next.js 14 / React 18 / TypeScript, Styling mit Tailwind, Charts via Recharts, UI mit Radix/Lucide, Animationen mit Framer Motion.</w:t>
      </w:r>
    </w:p>
    <w:p>
      <w:pPr>
        <w:pStyle w:val="ListParagraph"/>
        <w:numPr>
          <w:ilvl w:val="0"/>
          <w:numId w:val="1"/>
        </w:numPr>
      </w:pPr>
      <w:r>
        <w:t xml:space="preserve">Umgesetzte, bedienbare Screens: Landing-/Pitch-Seite (Features, Pakete, Preise); Trainer-Dashboard (KPIs, Squad-ACWR-Chart, Squad-Ampel mit Filter, KI-Empfehlungen, Equipment-Pool, empfohlene Session); Spieler-Detailansicht (p1–p20); Session Planner mit Kaderverfügbarkeits-Tabelle und Export-Button; Spieler-App mit Home/Readiness, Wellness-Check-in, QR-Scan-Simulation und persönlichen Statistiken.</w:t>
      </w:r>
    </w:p>
    <w:p>
      <w:pPr>
        <w:pStyle w:val="ListParagraph"/>
        <w:numPr>
          <w:ilvl w:val="0"/>
          <w:numId w:val="1"/>
        </w:numPr>
      </w:pPr>
      <w:r>
        <w:t xml:space="preserve">Datenbasis: vollständige Mock-Daten (20 Spieler inkl. weiblicher Spielerinnen, generierte Lasten-/HRV-Verläufe). ACWR-Formel (Acute 7 Tage / Chronic 28 Tage) und Schwellenwerte (grün &lt; 1,3 / gelb 1,3–1,49 / rot ≥ 1,5) sind bereits codiert.</w:t>
      </w:r>
    </w:p>
    <w:p>
      <w:r>
        <w:t xml:space="preserve">Noch offen / nächste Entwicklungsschritte (nicht im Prototyp enthalten):</w:t>
      </w:r>
    </w:p>
    <w:p>
      <w:pPr>
        <w:pStyle w:val="ListParagraph"/>
        <w:numPr>
          <w:ilvl w:val="0"/>
          <w:numId w:val="1"/>
        </w:numPr>
      </w:pPr>
      <w:r>
        <w:t xml:space="preserve">Anbindung echter Hardware (GPS-Tracker, Polar H10) und Live-Datenpipeline statt Mock-Daten.</w:t>
      </w:r>
    </w:p>
    <w:p>
      <w:pPr>
        <w:pStyle w:val="ListParagraph"/>
        <w:numPr>
          <w:ilvl w:val="0"/>
          <w:numId w:val="1"/>
        </w:numPr>
      </w:pPr>
      <w:r>
        <w:t xml:space="preserve">Backend, Datenbank und Authentifizierung (Multi-Mandanten-/Vereins-Accounts).</w:t>
      </w:r>
    </w:p>
    <w:p>
      <w:pPr>
        <w:pStyle w:val="ListParagraph"/>
        <w:numPr>
          <w:ilvl w:val="0"/>
          <w:numId w:val="1"/>
        </w:numPr>
      </w:pPr>
      <w:r>
        <w:t xml:space="preserve">Echte KI-/Analytik-Engine statt statisch hinterlegter Empfehlungstexte (inkl. Asymmetrie-Erkennung).</w:t>
      </w:r>
    </w:p>
    <w:p>
      <w:pPr>
        <w:pStyle w:val="ListParagraph"/>
        <w:numPr>
          <w:ilvl w:val="0"/>
          <w:numId w:val="1"/>
        </w:numPr>
      </w:pPr>
      <w:r>
        <w:t xml:space="preserve">Mobile App als native bzw. PWA-Auslieferung (derzeit Web-Simulation des QR-Scans).</w:t>
      </w:r>
    </w:p>
    <w:p>
      <w:pPr>
        <w:pStyle w:val="ListParagraph"/>
        <w:numPr>
          <w:ilvl w:val="0"/>
          <w:numId w:val="1"/>
        </w:numPr>
      </w:pPr>
      <w:r>
        <w:t xml:space="preserve">Funktionaler Sessionplan-Export, Rollen-/Rechtemanagement, produktives DSGVO-/Hosting-Setup.</w:t>
      </w:r>
    </w:p>
    <w:p>
      <w:r>
        <w:t xml:space="preserve">Hinweis zur Quellenlage: Im Repository liegt kein eigenständiges Produktplan-Dokument – diese Zusammenfassung ist aus dem lauffähigen Prototyp, dem README und den hinterlegten Daten/Texten abgeleitet.</w:t>
      </w:r>
    </w:p>
    <w:sectPr>
      <w:pgSz w:w="11906" w:h="16838"/>
      <w:pgMar w:top="1417" w:right="1417" w:bottom="1134" w:left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pPr>
      <w:spacing w:after="240"/>
    </w:pPr>
    <w:rPr>
      <w:b/>
      <w:sz w:val="40"/>
      <w:color w:val="0F5132"/>
    </w:rPr>
  </w:style>
  <w:style w:type="paragraph" w:styleId="Heading1">
    <w:name w:val="heading 1"/>
    <w:basedOn w:val="Normal"/>
    <w:pPr>
      <w:spacing w:before="240" w:after="120"/>
      <w:outlineLvl w:val="0"/>
    </w:pPr>
    <w:rPr>
      <w:b/>
      <w:sz w:val="30"/>
      <w:color w:val="0F5132"/>
    </w:rPr>
  </w:style>
  <w:style w:type="paragraph" w:styleId="Heading2">
    <w:name w:val="heading 2"/>
    <w:basedOn w:val="Normal"/>
    <w:pPr>
      <w:spacing w:before="160" w:after="80"/>
      <w:outlineLvl w:val="1"/>
    </w:pPr>
    <w:rPr>
      <w:b/>
      <w:sz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