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A0F1A"/>
          <w:sz w:val="60"/>
        </w:rPr>
        <w:t>BetterSquad</w:t>
      </w:r>
      <w:r>
        <w:rPr>
          <w:b/>
          <w:color w:val="0E9F6E"/>
          <w:sz w:val="36"/>
        </w:rPr>
        <w:t xml:space="preserve">  ·  Businessplan</w:t>
      </w:r>
    </w:p>
    <w:p>
      <w:r>
        <w:rPr>
          <w:i/>
          <w:color w:val="555F6B"/>
          <w:sz w:val="22"/>
        </w:rPr>
        <w:t>Bundesliga-Methodik für den Amateurfußball – ACWR-Belastungssteuerung, HRV-Recovery-Monitoring und KI-Trainingsempfehlung als Vereinslizenz.</w:t>
      </w:r>
    </w:p>
    <w:p>
      <w:r>
        <w:rPr>
          <w:color w:val="555F6B"/>
          <w:sz w:val="18"/>
        </w:rPr>
        <w:t>WiSo Köln · Bachelorseminar 2024/25      |      Stand: Juni 2026      |      Preismodell: Finanzplan-Variante (kundenfinanzierte Hardware)</w:t>
      </w:r>
    </w:p>
    <w:p/>
    <w:p>
      <w:pPr>
        <w:spacing w:before="240" w:after="80"/>
      </w:pPr>
      <w:r>
        <w:rPr>
          <w:b/>
          <w:color w:val="0E9F6E"/>
          <w:sz w:val="28"/>
        </w:rPr>
        <w:t>1  Executive Summary</w:t>
      </w:r>
    </w:p>
    <w:p>
      <w:r>
        <w:t>BetterSquad ist die erste integrierte GPS- und Recovery-Plattform für den Amateurfußball. Wir bringen wissenschaftlich validierte Belastungssteuerung (ACWR nach Gabbett et al.), HRV-Recovery-Monitoring und KI-gestützte Trainingsempfehlungen in einen Markt, der diese Methodik bislang nur aus dem Profibereich kennt – zu 219 €/Monat statt 15.000 $/Jahr.</w:t>
      </w:r>
    </w:p>
    <w:p>
      <w:r>
        <w:t>Das Geschäftsmodell kombiniert eine wiederkehrende SaaS-Lizenz (~95 % Bruttomarge) mit einer einmaligen, kostendeckenden Hardware-Anzahlung. Die Anzahlung finanziert die Hardware vollständig vor: Der Kunde finanziert das Inventar, das Unternehmen arbeitet mit negativem Working Capital. Daraus ergibt sich eine kapitaleffiziente Wachstumsstory mit positiven Unit Economics auf jeder Paketstufe.</w:t>
      </w:r>
    </w:p>
    <w:p>
      <w:r>
        <w:t>Kernkennzahlen: Blended-LTV ≈ 15.600 € bei einem implizierten CAC von rund 1.100 € (LTV/CAC ≈ 14:1), operativer Break-even bereits im Jahr 1 (Sweat Equity + kundenfinanzierte Hardware), nachhaltige Profitabilität ab Jahr 3 bei einem Ziel von 85 Vereinen.</w:t>
      </w:r>
    </w:p>
    <w:p>
      <w:pPr>
        <w:spacing w:before="240" w:after="80"/>
      </w:pPr>
      <w:r>
        <w:rPr>
          <w:b/>
          <w:color w:val="0E9F6E"/>
          <w:sz w:val="28"/>
        </w:rPr>
        <w:t>2  Problem &amp; Lösung</w:t>
      </w:r>
    </w:p>
    <w:p>
      <w:r>
        <w:t>Verletzungen sind im Amateurfußball der größte Kader-Killer – ohne Sportwissenschaftler vor Ort wird Belastung nach Bauchgefühl gesteuert. Profimethodik existiert, ist aber an Einzelspieler-Wearables (15.000 $/Jahr/Spieler) und Spezialpersonal gebunden und damit für Amateurvereine unbezahlbar.</w:t>
      </w:r>
    </w:p>
    <w:p>
      <w:r>
        <w:t>BetterSquad löst das mit vier Bausteinen:</w:t>
      </w:r>
    </w:p>
    <w:p>
      <w:pPr>
        <w:pStyle w:val="ListBullet"/>
        <w:spacing w:after="40"/>
      </w:pPr>
      <w:r>
        <w:rPr>
          <w:sz w:val="21"/>
        </w:rPr>
        <w:t>ACWR &amp; HRV – externe (GPS) und interne (Herzfrequenz) Last wissenschaftlich kombiniert.</w:t>
      </w:r>
    </w:p>
    <w:p>
      <w:pPr>
        <w:pStyle w:val="ListBullet"/>
        <w:spacing w:after="40"/>
      </w:pPr>
      <w:r>
        <w:rPr>
          <w:sz w:val="21"/>
        </w:rPr>
        <w:t>KI-Trainingsempfehlung – individuelle Steuerung vor jeder Einheit, ohne Personal vor Ort.</w:t>
      </w:r>
    </w:p>
    <w:p>
      <w:pPr>
        <w:pStyle w:val="ListBullet"/>
        <w:spacing w:after="40"/>
      </w:pPr>
      <w:r>
        <w:rPr>
          <w:sz w:val="21"/>
        </w:rPr>
        <w:t>Verletzungsprävention – proaktive Warnung bei ACWR &gt; 1,3; Asymmetrie-Erkennung 5–10 Tage früher.</w:t>
      </w:r>
    </w:p>
    <w:p>
      <w:pPr>
        <w:pStyle w:val="ListBullet"/>
        <w:spacing w:after="40"/>
      </w:pPr>
      <w:r>
        <w:rPr>
          <w:sz w:val="21"/>
        </w:rPr>
        <w:t>Pool-Modell – eine Vereinslizenz für alle Mannschaften (Männer, Frauen, Jugend inklusive).</w:t>
      </w:r>
    </w:p>
    <w:p>
      <w:pPr>
        <w:spacing w:before="240" w:after="80"/>
      </w:pPr>
      <w:r>
        <w:rPr>
          <w:b/>
          <w:color w:val="0E9F6E"/>
          <w:sz w:val="28"/>
        </w:rPr>
        <w:t>3  Markt &amp; Zielgruppe</w:t>
      </w:r>
    </w:p>
    <w:p>
      <w:r>
        <w:t>Zielgruppe sind ambitionierte Amateur- und semiprofessionelle Vereine (Regional-, Ober-, Verbandsliga) im DACH-Raum, die mehrere Mannschaften führen und Kader systematisch entwickeln wollen. Das Pool-Modell adressiert den Verein als Ganzes statt einzelner Spieler – größerer Wert pro Abschluss, geringere Akquisekosten je Tracker. Differenzierung: DSGVO-konform, Serverstandort Deutschland, „Made in DE".</w:t>
      </w:r>
    </w:p>
    <w:p>
      <w:pPr>
        <w:spacing w:before="240" w:after="80"/>
      </w:pPr>
      <w:r>
        <w:rPr>
          <w:b/>
          <w:color w:val="0E9F6E"/>
          <w:sz w:val="28"/>
        </w:rPr>
        <w:t>4  Geschäftsmodell &amp; Preise</w:t>
      </w:r>
    </w:p>
    <w:p>
      <w:r>
        <w:t>Zweistufiges Modell: monatliche SaaS-Lizenz (wiederkehrend, hochmargig) plus einmalige Hardware-Anzahlung bei Vertragsabschluss. Mindestlaufzeit 48 Monate. Die Anzahlung deckt die Hardwarekosten vollständig und erwirtschaftet zusätzlich eine positive Einmalmarge.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shd w:val="clear" w:fill="0E9F6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Paket</w:t>
            </w:r>
          </w:p>
        </w:tc>
        <w:tc>
          <w:tcPr>
            <w:tcW w:type="dxa" w:w="1587"/>
            <w:shd w:val="clear" w:fill="0E9F6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Abo/Monat</w:t>
            </w:r>
          </w:p>
        </w:tc>
        <w:tc>
          <w:tcPr>
            <w:tcW w:type="dxa" w:w="1587"/>
            <w:shd w:val="clear" w:fill="0E9F6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Anzahlung</w:t>
            </w:r>
          </w:p>
        </w:tc>
        <w:tc>
          <w:tcPr>
            <w:tcW w:type="dxa" w:w="1928"/>
            <w:shd w:val="clear" w:fill="0E9F6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Tracker / Gurte</w:t>
            </w:r>
          </w:p>
        </w:tc>
        <w:tc>
          <w:tcPr>
            <w:tcW w:type="dxa" w:w="1701"/>
            <w:shd w:val="clear" w:fill="0E9F6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Mannschaften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Starter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219 €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4.200 €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 / 36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Pro (beliebteste)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349 €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5.900 €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 / 50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Elite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459 €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8.200 €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35 / 70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∞</w:t>
            </w:r>
          </w:p>
        </w:tc>
      </w:tr>
    </w:tbl>
    <w:p/>
    <w:p>
      <w:r>
        <w:rPr>
          <w:b/>
        </w:rPr>
        <w:t xml:space="preserve">Warum diese Preise (statt niedrigerer Anzahlungen)? </w:t>
      </w:r>
      <w:r>
        <w:t>Eine günstigere Anzahlungsstaffel (2.200 / 3.200 / 4.200 €) deckt die Hardwarekosten nicht: Pro läge bei rund 0 € Marge, Elite sogar bei –225 € pro Abschluss (Verlust, der mit jedem Elite-Kunden skaliert). Die gewählte Staffel sichert auf jeder Stufe eine positive Hardware-Marge, bringt mehr Cash bei Abschluss und wirkt durch das höhere Commitment churn-senkend.</w:t>
      </w:r>
    </w:p>
    <w:p>
      <w:pPr>
        <w:spacing w:before="240" w:after="80"/>
      </w:pPr>
      <w:r>
        <w:rPr>
          <w:b/>
          <w:color w:val="0E9F6E"/>
          <w:sz w:val="28"/>
        </w:rPr>
        <w:t>5  Unit Economics</w:t>
      </w:r>
    </w:p>
    <w:p>
      <w:r>
        <w:t>Komponentenkosten (identisch über alle Pakete): GPS-Pod 55 € · Polar H10 62 € · Band 6 € · Docking 60 €. Abo-COGS ca. 17 €/Monat (Hosting, Lizenzen) → ~95 % Bruttomarge auf der Lizenz.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28"/>
            <w:shd w:val="clear" w:fill="0E9F6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Paket</w:t>
            </w:r>
          </w:p>
        </w:tc>
        <w:tc>
          <w:tcPr>
            <w:tcW w:type="dxa" w:w="1587"/>
            <w:shd w:val="clear" w:fill="0E9F6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HW-COGS</w:t>
            </w:r>
          </w:p>
        </w:tc>
        <w:tc>
          <w:tcPr>
            <w:tcW w:type="dxa" w:w="1587"/>
            <w:shd w:val="clear" w:fill="0E9F6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Anzahlung</w:t>
            </w:r>
          </w:p>
        </w:tc>
        <w:tc>
          <w:tcPr>
            <w:tcW w:type="dxa" w:w="2041"/>
            <w:shd w:val="clear" w:fill="0E9F6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HW-Marge (einmalig)</w:t>
            </w:r>
          </w:p>
        </w:tc>
        <w:tc>
          <w:tcPr>
            <w:tcW w:type="dxa" w:w="1928"/>
            <w:shd w:val="clear" w:fill="0E9F6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Abo-Marge/Monat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Starter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3.390 €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4.200 €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+810 €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202 €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Pro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4.745 €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5.900 €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+1.155 €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332 €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Elite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6.595 €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8.200 €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+1.605 €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442 €</w:t>
            </w:r>
          </w:p>
        </w:tc>
      </w:tr>
    </w:tbl>
    <w:p/>
    <w:p>
      <w:r>
        <w:t>Blended-Werte (Mix 40 % Starter / 40 % Pro / 20 % Elite): Hardware-Marge ≈ 1.107 € einmalig, Abo-Deckungsbeitrag ≈ 302 €/Monat. Über die 48-monatige Laufzeit ergibt das einen Blended-LTV von ca. 15.600 € pro Verein – bei einem implizierten CAC von rund 1.100 € liegt die LTV/CAC-Ratio bei ≈ 14:1.</w:t>
      </w:r>
    </w:p>
    <w:p>
      <w:pPr>
        <w:spacing w:before="240" w:after="80"/>
      </w:pPr>
      <w:r>
        <w:rPr>
          <w:b/>
          <w:color w:val="0E9F6E"/>
          <w:sz w:val="28"/>
        </w:rPr>
        <w:t>6  Finanzplanung &amp; Break-even</w:t>
      </w:r>
    </w:p>
    <w:p>
      <w:r>
        <w:t>Annahmen: Kundenhochlauf 15 → 45 → 85 aktive Vereine (Jahresende), Paket-Mix 40/40/20, wiederkehrender Umsatz auf Basis durchschnittlich aktiver Vereine. Jahr 1 ohne Personalkosten (Sweat Equity der Gründer); Personal ab Jahr 2. Fixkosten: IT-Setup 30.000 € (Jahr 1), laufende Technik 1.800 €/Jahr, Personal 145.000 € (Jahr 2) bzw. 199.000 € (Jahr 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742"/>
            <w:shd w:val="clear" w:fill="0E9F6E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Position</w:t>
            </w:r>
          </w:p>
        </w:tc>
        <w:tc>
          <w:tcPr>
            <w:tcW w:type="dxa" w:w="1701"/>
            <w:shd w:val="clear" w:fill="0E9F6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Jahr 1</w:t>
            </w:r>
          </w:p>
        </w:tc>
        <w:tc>
          <w:tcPr>
            <w:tcW w:type="dxa" w:w="1701"/>
            <w:shd w:val="clear" w:fill="0E9F6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Jahr 2</w:t>
            </w:r>
          </w:p>
        </w:tc>
        <w:tc>
          <w:tcPr>
            <w:tcW w:type="dxa" w:w="1701"/>
            <w:shd w:val="clear" w:fill="0E9F6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Jahr 3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Aktive Vereine (Jahresende)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85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Abo-Umsatz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28.710 €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114.840 €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248.820 €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Hardware-Umsatz (Anzahlungen)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85.200 €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170.400 €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227.200 €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Gesamtumsatz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113.910 €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285.240 €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476.020 €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Deckungsbeitrag (Abo + HW)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43.785 €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141.930 €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279.840 €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Fixkosten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33.600 €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146.800 €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200.800 €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EBIT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+10.185 €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−4.870 €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+79.040 €</w:t>
            </w:r>
          </w:p>
        </w:tc>
      </w:tr>
      <w:tr>
        <w:tc>
          <w:tcPr>
            <w:tcW w:type="dxa" w:w="3742"/>
            <w:shd w:val="clear" w:fill="E7F5EF"/>
          </w:tcPr>
          <w:p>
            <w:pPr>
              <w:jc w:val="left"/>
            </w:pPr>
            <w:r/>
            <w:r>
              <w:rPr>
                <w:b/>
                <w:sz w:val="19"/>
              </w:rPr>
              <w:t>EBIT kumuliert</w:t>
            </w:r>
          </w:p>
        </w:tc>
        <w:tc>
          <w:tcPr>
            <w:tcW w:type="dxa" w:w="1701"/>
            <w:shd w:val="clear" w:fill="E7F5EF"/>
          </w:tcPr>
          <w:p>
            <w:pPr>
              <w:jc w:val="center"/>
            </w:pPr>
            <w:r/>
            <w:r>
              <w:rPr>
                <w:b/>
                <w:sz w:val="19"/>
              </w:rPr>
              <w:t>+10.185 €</w:t>
            </w:r>
          </w:p>
        </w:tc>
        <w:tc>
          <w:tcPr>
            <w:tcW w:type="dxa" w:w="1701"/>
            <w:shd w:val="clear" w:fill="E7F5EF"/>
          </w:tcPr>
          <w:p>
            <w:pPr>
              <w:jc w:val="center"/>
            </w:pPr>
            <w:r/>
            <w:r>
              <w:rPr>
                <w:b/>
                <w:sz w:val="19"/>
              </w:rPr>
              <w:t>+5.315 €</w:t>
            </w:r>
          </w:p>
        </w:tc>
        <w:tc>
          <w:tcPr>
            <w:tcW w:type="dxa" w:w="1701"/>
            <w:shd w:val="clear" w:fill="E7F5EF"/>
          </w:tcPr>
          <w:p>
            <w:pPr>
              <w:jc w:val="center"/>
            </w:pPr>
            <w:r/>
            <w:r>
              <w:rPr>
                <w:b/>
                <w:sz w:val="19"/>
              </w:rPr>
              <w:t>+84.355 €</w:t>
            </w:r>
          </w:p>
        </w:tc>
      </w:tr>
    </w:tbl>
    <w:p/>
    <w:p>
      <w:r>
        <w:rPr>
          <w:b/>
        </w:rPr>
        <w:t xml:space="preserve">Break-even-Fazit: </w:t>
      </w:r>
      <w:r>
        <w:t>Durch kundenfinanzierte Hardware (negatives Working Capital) und Sweat Equity ist das kumulierte Ergebnis bereits ab Jahr 1 positiv; die Personalrampe in Jahr 2 wird vollständig aus dem Cashflow getragen. Ab Jahr 3 wächst der wiederkehrende Lizenz-Deckungsbeitrag (235.560 €) über die Fixkosten hinaus – nachhaltige Profitabilität ohne externe Kapitalrunde.</w:t>
      </w:r>
    </w:p>
    <w:p>
      <w:pPr>
        <w:spacing w:before="240" w:after="80"/>
      </w:pPr>
      <w:r>
        <w:rPr>
          <w:b/>
          <w:color w:val="0E9F6E"/>
          <w:sz w:val="28"/>
        </w:rPr>
        <w:t>7  Wettbewerbsvorteil &amp; Moat</w:t>
      </w:r>
    </w:p>
    <w:p>
      <w:pPr>
        <w:pStyle w:val="ListBullet"/>
        <w:spacing w:after="40"/>
      </w:pPr>
      <w:r>
        <w:rPr>
          <w:sz w:val="21"/>
        </w:rPr>
        <w:t>Einziger integrierter GPS+Recovery-Anbieter für Amateurfußball – kein direkter Wettbewerber im Pool-Modell.</w:t>
      </w:r>
    </w:p>
    <w:p>
      <w:pPr>
        <w:pStyle w:val="ListBullet"/>
        <w:spacing w:after="40"/>
      </w:pPr>
      <w:r>
        <w:rPr>
          <w:sz w:val="21"/>
        </w:rPr>
        <w:t>Datengetriebener Lock-in: 48-Monats-Verträge und akkumulierte Vereinsdaten erhöhen Wechselkosten (Shapiro &amp; Varian) – churn-senkend, LTV-stabilisierend.</w:t>
      </w:r>
    </w:p>
    <w:p>
      <w:pPr>
        <w:pStyle w:val="ListBullet"/>
        <w:spacing w:after="40"/>
      </w:pPr>
      <w:r>
        <w:rPr>
          <w:sz w:val="21"/>
        </w:rPr>
        <w:t>Kapitaleffizienz: kundenfinanzierte Hardware → kein Inventar-Funding, geringe Burn-Rate.</w:t>
      </w:r>
    </w:p>
    <w:p>
      <w:pPr>
        <w:pStyle w:val="ListBullet"/>
        <w:spacing w:after="40"/>
      </w:pPr>
      <w:r>
        <w:rPr>
          <w:sz w:val="21"/>
        </w:rPr>
        <w:t>Vertrauens-/Commitment-Effekt der Anzahlung (Cialdini) senkt Kündigungsneigung.</w:t>
      </w:r>
    </w:p>
    <w:p>
      <w:pPr>
        <w:spacing w:before="240" w:after="80"/>
      </w:pPr>
      <w:r>
        <w:rPr>
          <w:b/>
          <w:color w:val="0E9F6E"/>
          <w:sz w:val="28"/>
        </w:rPr>
        <w:t>8  Risiken &amp; Gegenmaßnahmen</w:t>
      </w:r>
    </w:p>
    <w:p>
      <w:pPr>
        <w:pStyle w:val="ListBullet"/>
        <w:spacing w:after="40"/>
      </w:pPr>
      <w:r>
        <w:rPr>
          <w:sz w:val="21"/>
        </w:rPr>
        <w:t>Adoptionsgeschwindigkeit: Anzahlung als Einstiegshürde → durch 48-Monats-Amortisation und gleichbleibend niedrige Monatsrate entschärft; Monatsrate ist der eigentliche Kaufentscheidungstreiber.</w:t>
      </w:r>
    </w:p>
    <w:p>
      <w:pPr>
        <w:pStyle w:val="ListBullet"/>
        <w:spacing w:after="40"/>
      </w:pPr>
      <w:r>
        <w:rPr>
          <w:sz w:val="21"/>
        </w:rPr>
        <w:t>Hardware-Lieferkette: Zweitlieferanten für Pods/Gurte; Anzahlung deckt Stückkosten vollständig.</w:t>
      </w:r>
    </w:p>
    <w:p>
      <w:pPr>
        <w:pStyle w:val="ListBullet"/>
        <w:spacing w:after="40"/>
      </w:pPr>
      <w:r>
        <w:rPr>
          <w:sz w:val="21"/>
        </w:rPr>
        <w:t>Datenschutz: DSGVO-Konformität und deutscher Serverstandort als Pflicht und zugleich Verkaufsargument.</w:t>
      </w:r>
    </w:p>
    <w:p>
      <w:pPr>
        <w:spacing w:before="240" w:after="80"/>
      </w:pPr>
      <w:r>
        <w:rPr>
          <w:b/>
          <w:color w:val="0E9F6E"/>
          <w:sz w:val="28"/>
        </w:rPr>
        <w:t>9  Fazit – Investorensicht</w:t>
      </w:r>
    </w:p>
    <w:p>
      <w:r>
        <w:t>BetterSquad verbindet einen unbesetzten Markt mit positiven Unit Economics auf jeder Paketstufe, kundenfinanziertem Wachstum (negatives Working Capital) und einem hochmargigen, wiederkehrenden Lizenzgeschäft. Operativer Break-even im Jahr 1, nachhaltige Profitabilität ab Jahr 3 und eine LTV/CAC-Ratio von ≈ 14:1 machen das Modell kapitaleffizient und skalierbar – wachstumskapital wirkt hier als Beschleuniger, nicht als Voraussetzung.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