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E965A"/>
          <w:sz w:val="56"/>
        </w:rPr>
        <w:t>BetterSquad</w:t>
      </w:r>
      <w:r>
        <w:rPr>
          <w:color w:val="555F6E"/>
          <w:sz w:val="32"/>
        </w:rPr>
        <w:t xml:space="preserve">  |  Businessplan</w:t>
      </w:r>
    </w:p>
    <w:p>
      <w:r>
        <w:rPr>
          <w:i/>
          <w:color w:val="555F6E"/>
          <w:sz w:val="24"/>
        </w:rPr>
        <w:t>Investiere in deinen Kader. Nicht in einzelne Spieler.</w:t>
      </w:r>
    </w:p>
    <w:p>
      <w:r>
        <w:rPr>
          <w:i w:val="0"/>
          <w:color w:val="555F6E"/>
          <w:sz w:val="20"/>
        </w:rPr>
        <w:t>WiSo Köln · Bachelorseminar · Wintersemester 2024/25</w:t>
      </w:r>
    </w:p>
    <w:p/>
    <w:p>
      <w:pPr>
        <w:pStyle w:val="Heading1"/>
        <w:spacing w:before="320" w:after="160"/>
      </w:pPr>
      <w:r>
        <w:rPr>
          <w:b/>
          <w:color w:val="0E965A"/>
          <w:sz w:val="40"/>
        </w:rPr>
        <w:t>3  Produkt / Dienstleistung</w:t>
      </w:r>
    </w:p>
    <w:p>
      <w:r>
        <w:rPr>
          <w:i w:val="0"/>
          <w:sz w:val="22"/>
        </w:rPr>
        <w:t>Dieses Kapitel beschreibt das Leistungsangebot von BetterSquad entlang der beiden untrennbaren Bausteine Hardware und Software. BetterSquad ist die erste integrierte GPS- und Recovery-Plattform, die professionelle Bundesliga-Methodik der Belastungssteuerung für den Amateur- und Nachwuchsfußball verfügbar macht – als schlüsselfertiges Komplettsystem aus tragbarer Sensorik und cloudbasierter Analysesoftware.</w:t>
      </w:r>
    </w:p>
    <w:p>
      <w:pPr>
        <w:pStyle w:val="Heading2"/>
        <w:spacing w:before="240" w:after="80"/>
      </w:pPr>
      <w:r>
        <w:rPr>
          <w:b/>
          <w:color w:val="0A0F1A"/>
          <w:sz w:val="28"/>
        </w:rPr>
        <w:t>3.1  Produktüberblick</w:t>
      </w:r>
    </w:p>
    <w:p>
      <w:r>
        <w:rPr>
          <w:i w:val="0"/>
          <w:sz w:val="22"/>
        </w:rPr>
        <w:t>BetterSquad kombiniert die objektive Messung der äußeren Belastung (GPS-Tracking) und der inneren Belastung (Herzfrequenz / HRV) mit der subjektiven Befindlichkeit der Spieler (Hooper-Index). Aus diesen drei Datenquellen errechnet die Plattform die Acute:Chronic Workload Ratio (ACWR) und übersetzt sie in eine sofort verständliche Ampel-Logik (Grün / Gelb / Rot). Trainerinnen und Trainer erhalten damit ohne sportwissenschaftliches Personal vor Ort eine fundierte, individuelle Entscheidungsgrundlage für jede Trainingseinheit.</w:t>
      </w:r>
    </w:p>
    <w:p>
      <w:r>
        <w:rPr>
          <w:b w:val="0"/>
        </w:rPr>
        <w:t xml:space="preserve">Das Angebot besteht aus drei aufeinander abgestimmten Komponenten: </w:t>
      </w:r>
      <w:r>
        <w:rPr>
          <w:b/>
        </w:rPr>
        <w:t xml:space="preserve">(1) tragbare Hardware </w:t>
      </w:r>
      <w:r>
        <w:rPr>
          <w:b w:val="0"/>
        </w:rPr>
        <w:t xml:space="preserve">im Vereinspool, </w:t>
      </w:r>
      <w:r>
        <w:rPr>
          <w:b/>
        </w:rPr>
        <w:t xml:space="preserve">(2) eine Software-Plattform </w:t>
      </w:r>
      <w:r>
        <w:rPr>
          <w:b w:val="0"/>
        </w:rPr>
        <w:t xml:space="preserve">aus Trainer-Dashboard und Spieler-App sowie </w:t>
      </w:r>
      <w:r>
        <w:rPr>
          <w:b/>
        </w:rPr>
        <w:t xml:space="preserve">(3) eine analytische Engine </w:t>
      </w:r>
      <w:r>
        <w:rPr>
          <w:b w:val="0"/>
        </w:rPr>
        <w:t>mit KI-gestützten Trainingsempfehlungen.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CFDF5"/>
          </w:tcPr>
          <w:p>
            <w:r/>
            <w:r>
              <w:rPr>
                <w:b/>
                <w:color w:val="0E965A"/>
                <w:sz w:val="22"/>
              </w:rPr>
              <w:t>Kernversprechen</w:t>
            </w:r>
          </w:p>
          <w:p>
            <w:r>
              <w:rPr>
                <w:sz w:val="21"/>
              </w:rPr>
              <w:t>Bundesliga-Methodik zum Amateur-Preis: 219 €/Monat statt rund 15.000 $/Jahr bei etablierten Profi-Anbietern – DSGVO-konform und mit Serverstandort in Deutschland.</w:t>
            </w:r>
          </w:p>
        </w:tc>
      </w:tr>
    </w:tbl>
    <w:p>
      <w:pPr>
        <w:pStyle w:val="Heading2"/>
        <w:spacing w:before="240" w:after="80"/>
      </w:pPr>
      <w:r>
        <w:rPr>
          <w:b/>
          <w:color w:val="0A0F1A"/>
          <w:sz w:val="28"/>
        </w:rPr>
        <w:t>3.2  Hardware</w:t>
      </w:r>
    </w:p>
    <w:p>
      <w:r>
        <w:rPr>
          <w:i w:val="0"/>
          <w:sz w:val="22"/>
        </w:rPr>
        <w:t>Die Hardware bildet die Datengrundlage des Systems. Bewusst setzt BetterSquad auf erprobte, kalibrierte Standardkomponenten statt auf teure Eigenentwicklungen. Das senkt Stückkosten und Ausfallrisiko, verkürzt die Time-to-Market und garantiert validierte Messqualität. Die Geräte werden nicht einzeln pro Spieler, sondern als geteilter Vereinspool bereitgestellt (Pool-Modell).</w:t>
      </w:r>
    </w:p>
    <w:p>
      <w:pPr>
        <w:pStyle w:val="Heading3"/>
        <w:spacing w:before="160" w:after="40"/>
      </w:pPr>
      <w:r>
        <w:rPr>
          <w:b/>
          <w:color w:val="0E965A"/>
          <w:sz w:val="24"/>
        </w:rPr>
        <w:t>3.2.1  GPS-Tracker (äußere Belastung)</w:t>
      </w:r>
    </w:p>
    <w:p>
      <w:r>
        <w:rPr>
          <w:i w:val="0"/>
          <w:sz w:val="22"/>
        </w:rPr>
        <w:t>Der GPS-Tracker wird in einer leichten Trageweste zwischen den Schulterblättern getragen und erfasst die äußere Belastung in Echtzeit:</w:t>
      </w:r>
    </w:p>
    <w:p>
      <w:pPr>
        <w:pStyle w:val="ListBullet"/>
      </w:pPr>
      <w:r>
        <w:rPr>
          <w:b/>
          <w:color w:val="0E965A"/>
        </w:rPr>
        <w:t xml:space="preserve">Laufleistung: </w:t>
      </w:r>
      <w:r>
        <w:t>Zurückgelegte Distanz und Distanz in Hochintensitäts-Zonen</w:t>
      </w:r>
    </w:p>
    <w:p>
      <w:pPr>
        <w:pStyle w:val="ListBullet"/>
      </w:pPr>
      <w:r>
        <w:rPr>
          <w:b/>
          <w:color w:val="0E965A"/>
        </w:rPr>
        <w:t xml:space="preserve">Sprints &amp; Speed: </w:t>
      </w:r>
      <w:r>
        <w:t>Anzahl der Sprints sowie Höchstgeschwindigkeit (km/h)</w:t>
      </w:r>
    </w:p>
    <w:p>
      <w:pPr>
        <w:pStyle w:val="ListBullet"/>
      </w:pPr>
      <w:r>
        <w:rPr>
          <w:b/>
          <w:color w:val="0E965A"/>
        </w:rPr>
        <w:t xml:space="preserve">HI-Runs: </w:t>
      </w:r>
      <w:r>
        <w:t>High-Intensity-Runs als Indikator azyklischer Belastung</w:t>
      </w:r>
    </w:p>
    <w:p>
      <w:pPr>
        <w:pStyle w:val="ListBullet"/>
      </w:pPr>
      <w:r>
        <w:rPr>
          <w:b/>
          <w:color w:val="0E965A"/>
        </w:rPr>
        <w:t xml:space="preserve">Acc/Dec: </w:t>
      </w:r>
      <w:r>
        <w:t>Beschleunigungs- und Abbrems-Lasten zur Erkennung von Asymmetrien</w:t>
      </w:r>
    </w:p>
    <w:p>
      <w:r>
        <w:rPr>
          <w:i w:val="0"/>
          <w:color w:val="555F6E"/>
          <w:sz w:val="20"/>
        </w:rPr>
        <w:t>Aus diesen Rohdaten wird die externe Tageslast (Load) berechnet, die als Grundgröße in das ACWR-Modell einfließt.</w:t>
      </w:r>
    </w:p>
    <w:p>
      <w:pPr>
        <w:pStyle w:val="Heading3"/>
        <w:spacing w:before="160" w:after="40"/>
      </w:pPr>
      <w:r>
        <w:rPr>
          <w:b/>
          <w:color w:val="0E965A"/>
          <w:sz w:val="24"/>
        </w:rPr>
        <w:t>3.2.2  Polar-H10-Pulsgurte (innere Belastung &amp; Recovery)</w:t>
      </w:r>
    </w:p>
    <w:p>
      <w:r>
        <w:rPr>
          <w:i w:val="0"/>
          <w:sz w:val="22"/>
        </w:rPr>
        <w:t>Der medizinisch validierte Brustgurt Polar H10 misst die innere Belastung und liefert die Datenbasis für das Recovery-Monitoring:</w:t>
      </w:r>
    </w:p>
    <w:p>
      <w:pPr>
        <w:pStyle w:val="ListBullet"/>
      </w:pPr>
      <w:r>
        <w:rPr>
          <w:b/>
          <w:color w:val="0E965A"/>
        </w:rPr>
        <w:t xml:space="preserve">HR: </w:t>
      </w:r>
      <w:r>
        <w:t>Herzfrequenz in Echtzeit zur Steuerung der Trainingsintensität</w:t>
      </w:r>
    </w:p>
    <w:p>
      <w:pPr>
        <w:pStyle w:val="ListBullet"/>
      </w:pPr>
      <w:r>
        <w:rPr>
          <w:b/>
          <w:color w:val="0E965A"/>
        </w:rPr>
        <w:t xml:space="preserve">HRV: </w:t>
      </w:r>
      <w:r>
        <w:t>Herzfrequenzvariabilität (HRV) als sensibler Frühindikator der Regeneration</w:t>
      </w:r>
    </w:p>
    <w:p>
      <w:pPr>
        <w:pStyle w:val="ListBullet"/>
      </w:pPr>
      <w:r>
        <w:rPr>
          <w:b/>
          <w:color w:val="0E965A"/>
        </w:rPr>
        <w:t xml:space="preserve">Recovery: </w:t>
      </w:r>
      <w:r>
        <w:t>Trendanalyse über Tage, um Übertraining 5–10 Tage früher zu erkennen</w:t>
      </w:r>
    </w:p>
    <w:p>
      <w:r>
        <w:rPr>
          <w:i w:val="0"/>
          <w:color w:val="555F6E"/>
          <w:sz w:val="20"/>
        </w:rPr>
        <w:t>Der Polar H10 ist ein etablierter Industriestandard mit hoher EKG-Genauigkeit und Bluetooth-Konnektivität – das reduziert Beschaffungs- und Wartungsaufwand erheblich.</w:t>
      </w:r>
    </w:p>
    <w:p>
      <w:pPr>
        <w:pStyle w:val="Heading3"/>
        <w:spacing w:before="160" w:after="40"/>
      </w:pPr>
      <w:r>
        <w:rPr>
          <w:b/>
          <w:color w:val="0E965A"/>
          <w:sz w:val="24"/>
        </w:rPr>
        <w:t>3.2.3  Tracker-Dock &amp; QR-Checkout</w:t>
      </w:r>
    </w:p>
    <w:p>
      <w:r>
        <w:rPr>
          <w:i w:val="0"/>
          <w:sz w:val="22"/>
        </w:rPr>
        <w:t>Die Geräte lagern und laden in einem zentralen Tracker-Dock. Vor dem Training scannt jeder Spieler über die App einen QR-Code am Dock und bekommt automatisch einen freien Tracker sowie einen Pulsgurt zugewiesen. Das löst zwei zentrale Praxisprobleme des Amateurbetriebs: Es macht eine feste 1:1-Zuordnung überflüssig (Pool-Modell) und stellt die korrekte Datenzuordnung sicher, ohne dass Personal Geräte manuell verteilen muss.</w:t>
      </w:r>
    </w:p>
    <w:p>
      <w:pPr>
        <w:pStyle w:val="ListBullet"/>
      </w:pPr>
      <w:r>
        <w:rPr>
          <w:b/>
          <w:color w:val="0E965A"/>
        </w:rPr>
        <w:t xml:space="preserve">Self-Checkout: </w:t>
      </w:r>
      <w:r>
        <w:t>Automatische Zuweisung von Tracker- und Gurt-Nummer per QR-Scan</w:t>
      </w:r>
    </w:p>
    <w:p>
      <w:pPr>
        <w:pStyle w:val="ListBullet"/>
      </w:pPr>
      <w:r>
        <w:rPr>
          <w:b/>
          <w:color w:val="0E965A"/>
        </w:rPr>
        <w:t xml:space="preserve">Pool-Transparenz: </w:t>
      </w:r>
      <w:r>
        <w:t>Live-Übersicht über verfügbare, ausgegebene und in Wartung befindliche Geräte</w:t>
      </w:r>
    </w:p>
    <w:p>
      <w:pPr>
        <w:pStyle w:val="ListBullet"/>
      </w:pPr>
      <w:r>
        <w:rPr>
          <w:b/>
          <w:color w:val="0E965A"/>
        </w:rPr>
        <w:t xml:space="preserve">Onboarding: </w:t>
      </w:r>
      <w:r>
        <w:t>Geführte Schritt-für-Schritt-Anlage (Weste, Gurt befeuchten, Bluetooth prüfen)</w:t>
      </w:r>
    </w:p>
    <w:p>
      <w:pPr>
        <w:pStyle w:val="Heading3"/>
        <w:spacing w:before="160" w:after="40"/>
      </w:pPr>
      <w:r>
        <w:rPr>
          <w:b/>
          <w:color w:val="0E965A"/>
          <w:sz w:val="24"/>
        </w:rPr>
        <w:t>3.2.4  Pool-Modell &amp; Lieferumfang</w:t>
      </w:r>
    </w:p>
    <w:p>
      <w:r>
        <w:rPr>
          <w:i w:val="0"/>
          <w:sz w:val="22"/>
        </w:rPr>
        <w:t>Statt jeden Spieler einzeln auszustatten, erhält der Verein einen geteilten Gerätepool samt Ersatzbändern. Eine Vereinslizenz deckt alle Mannschaften ab – Herren, Frauen und Jugend. Der Hardware-Umfang skaliert mit dem gewählten Paket: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0E965A"/>
          </w:tcPr>
          <w:p>
            <w:r/>
            <w:r>
              <w:rPr>
                <w:b/>
                <w:color w:val="FFFFFF"/>
              </w:rPr>
              <w:t>Paket</w:t>
            </w:r>
          </w:p>
        </w:tc>
        <w:tc>
          <w:tcPr>
            <w:tcW w:type="dxa" w:w="2351"/>
            <w:shd w:val="clear" w:color="auto" w:fill="0E965A"/>
          </w:tcPr>
          <w:p>
            <w:r/>
            <w:r>
              <w:rPr>
                <w:b/>
                <w:color w:val="FFFFFF"/>
              </w:rPr>
              <w:t>GPS-Tracker</w:t>
            </w:r>
          </w:p>
        </w:tc>
        <w:tc>
          <w:tcPr>
            <w:tcW w:type="dxa" w:w="2351"/>
            <w:shd w:val="clear" w:color="auto" w:fill="0E965A"/>
          </w:tcPr>
          <w:p>
            <w:r/>
            <w:r>
              <w:rPr>
                <w:b/>
                <w:color w:val="FFFFFF"/>
              </w:rPr>
              <w:t>Polar H10</w:t>
            </w:r>
          </w:p>
        </w:tc>
        <w:tc>
          <w:tcPr>
            <w:tcW w:type="dxa" w:w="2351"/>
            <w:shd w:val="clear" w:color="auto" w:fill="0E965A"/>
          </w:tcPr>
          <w:p>
            <w:r/>
            <w:r>
              <w:rPr>
                <w:b/>
                <w:color w:val="FFFFFF"/>
              </w:rPr>
              <w:t>Mannschaften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</w:rPr>
              <w:t>Starter</w:t>
            </w:r>
          </w:p>
        </w:tc>
        <w:tc>
          <w:tcPr>
            <w:tcW w:type="dxa" w:w="2351"/>
          </w:tcPr>
          <w:p>
            <w:r/>
            <w:r>
              <w:t>15</w:t>
            </w:r>
          </w:p>
        </w:tc>
        <w:tc>
          <w:tcPr>
            <w:tcW w:type="dxa" w:w="2351"/>
          </w:tcPr>
          <w:p>
            <w:r/>
            <w:r>
              <w:t>15</w:t>
            </w:r>
          </w:p>
        </w:tc>
        <w:tc>
          <w:tcPr>
            <w:tcW w:type="dxa" w:w="2351"/>
          </w:tcPr>
          <w:p>
            <w:r/>
            <w:r>
              <w:t>bis zu 2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</w:rPr>
              <w:t>Pro</w:t>
            </w:r>
          </w:p>
        </w:tc>
        <w:tc>
          <w:tcPr>
            <w:tcW w:type="dxa" w:w="2351"/>
          </w:tcPr>
          <w:p>
            <w:r/>
            <w:r>
              <w:t>25</w:t>
            </w:r>
          </w:p>
        </w:tc>
        <w:tc>
          <w:tcPr>
            <w:tcW w:type="dxa" w:w="2351"/>
          </w:tcPr>
          <w:p>
            <w:r/>
            <w:r>
              <w:t>25</w:t>
            </w:r>
          </w:p>
        </w:tc>
        <w:tc>
          <w:tcPr>
            <w:tcW w:type="dxa" w:w="2351"/>
          </w:tcPr>
          <w:p>
            <w:r/>
            <w:r>
              <w:t>bis zu 4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</w:rPr>
              <w:t>Elite</w:t>
            </w:r>
          </w:p>
        </w:tc>
        <w:tc>
          <w:tcPr>
            <w:tcW w:type="dxa" w:w="2351"/>
          </w:tcPr>
          <w:p>
            <w:r/>
            <w:r>
              <w:t>35</w:t>
            </w:r>
          </w:p>
        </w:tc>
        <w:tc>
          <w:tcPr>
            <w:tcW w:type="dxa" w:w="2351"/>
          </w:tcPr>
          <w:p>
            <w:r/>
            <w:r>
              <w:t>35</w:t>
            </w:r>
          </w:p>
        </w:tc>
        <w:tc>
          <w:tcPr>
            <w:tcW w:type="dxa" w:w="2351"/>
          </w:tcPr>
          <w:p>
            <w:r/>
            <w:r>
              <w:t>unbegrenzt</w:t>
            </w:r>
          </w:p>
        </w:tc>
      </w:tr>
    </w:tbl>
    <w:p>
      <w:r>
        <w:rPr>
          <w:i w:val="0"/>
          <w:color w:val="555F6E"/>
          <w:sz w:val="20"/>
        </w:rPr>
        <w:t>Zusätzlich sind im Lieferumfang Trageschutzwesten, Ersatzbänder (z. B. 48 Stück) sowie das Lade- und Checkout-Dock enthalten. Die Hardware wird über eine einmalige Anzahlung (2.200–4.200 €) und die laufende Lizenz finanziert.</w:t>
      </w:r>
    </w:p>
    <w:p>
      <w:pPr>
        <w:pStyle w:val="Heading2"/>
        <w:spacing w:before="240" w:after="80"/>
      </w:pPr>
      <w:r>
        <w:rPr>
          <w:b/>
          <w:color w:val="0A0F1A"/>
          <w:sz w:val="28"/>
        </w:rPr>
        <w:t>3.3  Software</w:t>
      </w:r>
    </w:p>
    <w:p>
      <w:r>
        <w:rPr>
          <w:i w:val="0"/>
          <w:sz w:val="22"/>
        </w:rPr>
        <w:t>Die Software ist das eigentliche Wertschöpfungszentrum und der zentrale Differenzierungsfaktor von BetterSquad. Sie verwandelt rohe Sensordaten in handlungsleitende Empfehlungen. Die Plattform besteht aus einem Trainer-Dashboard (Web), einer Spieler-App (Mobile) und einer dahinterliegenden Analyse- und KI-Engine. Als Software-as-a-Service ist sie wartungsfrei für den Verein und wird kontinuierlich weiterentwickelt.</w:t>
      </w:r>
    </w:p>
    <w:p>
      <w:pPr>
        <w:pStyle w:val="Heading3"/>
        <w:spacing w:before="160" w:after="40"/>
      </w:pPr>
      <w:r>
        <w:rPr>
          <w:b/>
          <w:color w:val="0E965A"/>
          <w:sz w:val="24"/>
        </w:rPr>
        <w:t>3.3.1  Trainer-Dashboard (Web)</w:t>
      </w:r>
    </w:p>
    <w:p>
      <w:r>
        <w:rPr>
          <w:i w:val="0"/>
          <w:sz w:val="22"/>
        </w:rPr>
        <w:t>Das Web-Dashboard ist die Kommandozentrale für Trainer- und Funktionsteam:</w:t>
      </w:r>
    </w:p>
    <w:p>
      <w:pPr>
        <w:pStyle w:val="ListBullet"/>
      </w:pPr>
      <w:r>
        <w:rPr>
          <w:b/>
          <w:color w:val="0E965A"/>
        </w:rPr>
        <w:t xml:space="preserve">Squad-Ampel: </w:t>
      </w:r>
      <w:r>
        <w:t>Squad-Ampel mit Grün/Gelb/Rot-Status je Spieler auf einen Blick</w:t>
      </w:r>
    </w:p>
    <w:p>
      <w:pPr>
        <w:pStyle w:val="ListBullet"/>
      </w:pPr>
      <w:r>
        <w:rPr>
          <w:b/>
          <w:color w:val="0E965A"/>
        </w:rPr>
        <w:t xml:space="preserve">ACWR-Chart: </w:t>
      </w:r>
      <w:r>
        <w:t>Verlauf der durchschnittlichen und maximalen Team-ACWR über 21 Tage</w:t>
      </w:r>
    </w:p>
    <w:p>
      <w:pPr>
        <w:pStyle w:val="ListBullet"/>
      </w:pPr>
      <w:r>
        <w:rPr>
          <w:b/>
          <w:color w:val="0E965A"/>
        </w:rPr>
        <w:t xml:space="preserve">KPI-Board: </w:t>
      </w:r>
      <w:r>
        <w:t>Live-KPIs: Ø Squad-ACWR sowie Anzahl fitter, gefährdeter und Risiko-Spieler</w:t>
      </w:r>
    </w:p>
    <w:p>
      <w:pPr>
        <w:pStyle w:val="ListBullet"/>
      </w:pPr>
      <w:r>
        <w:rPr>
          <w:b/>
          <w:color w:val="0E965A"/>
        </w:rPr>
        <w:t xml:space="preserve">Spieler-Detail: </w:t>
      </w:r>
      <w:r>
        <w:t>Detailansicht pro Spieler mit Last-, HRV- und Hooper-Historie</w:t>
      </w:r>
    </w:p>
    <w:p>
      <w:pPr>
        <w:pStyle w:val="ListBullet"/>
      </w:pPr>
      <w:r>
        <w:rPr>
          <w:b/>
          <w:color w:val="0E965A"/>
        </w:rPr>
        <w:t xml:space="preserve">Equipment-Monitoring: </w:t>
      </w:r>
      <w:r>
        <w:t>Live-Status des Gerätepools (verfügbar / in Wartung)</w:t>
      </w:r>
    </w:p>
    <w:p>
      <w:pPr>
        <w:pStyle w:val="Heading3"/>
        <w:spacing w:before="160" w:after="40"/>
      </w:pPr>
      <w:r>
        <w:rPr>
          <w:b/>
          <w:color w:val="0E965A"/>
          <w:sz w:val="24"/>
        </w:rPr>
        <w:t>3.3.2  Session Planner</w:t>
      </w:r>
    </w:p>
    <w:p>
      <w:r>
        <w:rPr>
          <w:i w:val="0"/>
          <w:sz w:val="22"/>
        </w:rPr>
        <w:t>Der Session Planner überführt die Analyse direkt in die Trainingsplanung. Er zeigt eine Kaderverfügbarkeits-Matrix mit ACWR, Hooper-Score, Status und empfohlener individueller Trainingsintensität (z. B. „Pause“, „Leicht −20 %“, „Voll“) für die nächste Einheit. Die Empfehlung lässt sich als Sessionplan exportieren und in den Trainingsalltag übernehmen.</w:t>
      </w:r>
    </w:p>
    <w:p>
      <w:pPr>
        <w:pStyle w:val="Heading3"/>
        <w:spacing w:before="160" w:after="40"/>
      </w:pPr>
      <w:r>
        <w:rPr>
          <w:b/>
          <w:color w:val="0E965A"/>
          <w:sz w:val="24"/>
        </w:rPr>
        <w:t>3.3.3  Spieler-App (Mobile)</w:t>
      </w:r>
    </w:p>
    <w:p>
      <w:r>
        <w:rPr>
          <w:i w:val="0"/>
          <w:sz w:val="22"/>
        </w:rPr>
        <w:t>Die Spieler-App bindet den Athleten aktiv in den Steuerungskreislauf ein:</w:t>
      </w:r>
    </w:p>
    <w:p>
      <w:pPr>
        <w:pStyle w:val="ListBullet"/>
      </w:pPr>
      <w:r>
        <w:rPr>
          <w:b/>
          <w:color w:val="0E965A"/>
        </w:rPr>
        <w:t xml:space="preserve">Readiness: </w:t>
      </w:r>
      <w:r>
        <w:t>Tägliche Readiness-Karte mit persönlicher ACWR und Hooper-Score</w:t>
      </w:r>
    </w:p>
    <w:p>
      <w:pPr>
        <w:pStyle w:val="ListBullet"/>
      </w:pPr>
      <w:r>
        <w:rPr>
          <w:b/>
          <w:color w:val="0E965A"/>
        </w:rPr>
        <w:t xml:space="preserve">Check-in: </w:t>
      </w:r>
      <w:r>
        <w:t>Wellness-Check-in über die vier Dimensionen Schlaf, Muskelkater, Energie, Stimmung</w:t>
      </w:r>
    </w:p>
    <w:p>
      <w:pPr>
        <w:pStyle w:val="ListBullet"/>
      </w:pPr>
      <w:r>
        <w:rPr>
          <w:b/>
          <w:color w:val="0E965A"/>
        </w:rPr>
        <w:t xml:space="preserve">Scan: </w:t>
      </w:r>
      <w:r>
        <w:t>QR-Equipment-Checkout mit geführter Geräteanlage</w:t>
      </w:r>
    </w:p>
    <w:p>
      <w:pPr>
        <w:pStyle w:val="ListBullet"/>
      </w:pPr>
      <w:r>
        <w:rPr>
          <w:b/>
          <w:color w:val="0E965A"/>
        </w:rPr>
        <w:t xml:space="preserve">Stats: </w:t>
      </w:r>
      <w:r>
        <w:t>Persönliche Statistiken: Distanz, Sprints, Höchstgeschwindigkeit, HRV-Trend</w:t>
      </w:r>
    </w:p>
    <w:p>
      <w:pPr>
        <w:pStyle w:val="Heading3"/>
        <w:spacing w:before="160" w:after="40"/>
      </w:pPr>
      <w:r>
        <w:rPr>
          <w:b/>
          <w:color w:val="0E965A"/>
          <w:sz w:val="24"/>
        </w:rPr>
        <w:t>3.3.4  Analyse- &amp; KI-Engine</w:t>
      </w:r>
    </w:p>
    <w:p>
      <w:r>
        <w:rPr>
          <w:i w:val="0"/>
          <w:sz w:val="22"/>
        </w:rPr>
        <w:t>Im Kern der Plattform verarbeitet die Analyse-Engine externe Last, interne Last und subjektives Befinden zu konkreten, priorisierten Handlungsempfehlungen:</w:t>
      </w:r>
    </w:p>
    <w:p>
      <w:pPr>
        <w:pStyle w:val="ListBullet"/>
      </w:pPr>
      <w:r>
        <w:rPr>
          <w:b/>
          <w:color w:val="0E965A"/>
        </w:rPr>
        <w:t xml:space="preserve">ACWR-Berechnung: </w:t>
      </w:r>
      <w:r>
        <w:t>Acute:Chronic Workload Ratio aus 7-Tage-Akut- und 28-Tage-Chronik-Last; Schwellen: &gt; 1,3 = erhöht (Gelb), &gt; 1,49 = kritisch (Rot).</w:t>
      </w:r>
    </w:p>
    <w:p>
      <w:pPr>
        <w:pStyle w:val="ListBullet"/>
      </w:pPr>
      <w:r>
        <w:rPr>
          <w:b/>
          <w:color w:val="0E965A"/>
        </w:rPr>
        <w:t xml:space="preserve">Recovery-Monitoring: </w:t>
      </w:r>
      <w:r>
        <w:t>HRV-Trendanalyse und Asymmetrie-Erkennung als Frühwarnsystem für Übertraining und Verletzungsrisiko (5–10 Tage Vorlauf).</w:t>
      </w:r>
    </w:p>
    <w:p>
      <w:pPr>
        <w:pStyle w:val="ListBullet"/>
      </w:pPr>
      <w:r>
        <w:rPr>
          <w:b/>
          <w:color w:val="0E965A"/>
        </w:rPr>
        <w:t xml:space="preserve">KI-Empfehlungen: </w:t>
      </w:r>
      <w:r>
        <w:t>Verständliche Klartext-Empfehlungen je Spieler und für das Gesamtteam – ohne dass ein Sportwissenschaftler die Rohdaten interpretieren muss.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CFDF5"/>
          </w:tcPr>
          <w:p>
            <w:r/>
            <w:r>
              <w:rPr>
                <w:b/>
                <w:color w:val="0E965A"/>
                <w:sz w:val="22"/>
              </w:rPr>
              <w:t>Kundennutzen der Software</w:t>
            </w:r>
          </w:p>
          <w:p>
            <w:r>
              <w:rPr>
                <w:sz w:val="21"/>
              </w:rPr>
              <w:t>Aus Zahlen werden Entscheidungen: Die Plattform sagt nicht nur, dass ein Spieler gefährdet ist, sondern auch, was zu tun ist – z. B. „Intensität um 20 % reduzieren, Fokus Taktik + Regeneration“. Das ersetzt teures Fachpersonal vor Ort.</w:t>
            </w:r>
          </w:p>
        </w:tc>
      </w:tr>
    </w:tbl>
    <w:p>
      <w:pPr>
        <w:pStyle w:val="Heading2"/>
        <w:spacing w:before="240" w:after="80"/>
      </w:pPr>
      <w:r>
        <w:rPr>
          <w:b/>
          <w:color w:val="0A0F1A"/>
          <w:sz w:val="28"/>
        </w:rPr>
        <w:t>3.4  Kundennutzen &amp; Alleinstellungsmerkmale</w:t>
      </w:r>
    </w:p>
    <w:p>
      <w:r>
        <w:rPr>
          <w:i w:val="0"/>
          <w:sz w:val="22"/>
        </w:rPr>
        <w:t>BetterSquad ist die erste Lösung, die GPS-Tracking und Recovery-Monitoring in einem einzigen, für den Amateurbereich bezahlbaren System verbindet. Die wesentlichen Alleinstellungsmerkmale sind:</w:t>
      </w:r>
    </w:p>
    <w:p>
      <w:pPr>
        <w:pStyle w:val="ListBullet"/>
      </w:pPr>
      <w:r>
        <w:rPr>
          <w:b/>
          <w:color w:val="0E965A"/>
        </w:rPr>
        <w:t xml:space="preserve">Integration: </w:t>
      </w:r>
      <w:r>
        <w:t>Externe und interne Last plus subjektives Befinden in einer Plattform statt drei getrennter Insellösungen.</w:t>
      </w:r>
    </w:p>
    <w:p>
      <w:pPr>
        <w:pStyle w:val="ListBullet"/>
      </w:pPr>
      <w:r>
        <w:rPr>
          <w:b/>
          <w:color w:val="0E965A"/>
        </w:rPr>
        <w:t xml:space="preserve">Preis: </w:t>
      </w:r>
      <w:r>
        <w:t>219 €/Monat statt ~15.000 $/Jahr – Profi-Methodik wird erstmals für Amateur- und Nachwuchsvereine erschwinglich.</w:t>
      </w:r>
    </w:p>
    <w:p>
      <w:pPr>
        <w:pStyle w:val="ListBullet"/>
      </w:pPr>
      <w:r>
        <w:rPr>
          <w:b/>
          <w:color w:val="0E965A"/>
        </w:rPr>
        <w:t xml:space="preserve">Pool-Modell: </w:t>
      </w:r>
      <w:r>
        <w:t>Eine Vereinslizenz und ein Gerätepool für alle Teams (Herren, Frauen, Jugend) statt Einzelausstattung.</w:t>
      </w:r>
    </w:p>
    <w:p>
      <w:pPr>
        <w:pStyle w:val="ListBullet"/>
      </w:pPr>
      <w:r>
        <w:rPr>
          <w:b/>
          <w:color w:val="0E965A"/>
        </w:rPr>
        <w:t xml:space="preserve">Einfachheit: </w:t>
      </w:r>
      <w:r>
        <w:t>Bedienbar ohne Sportwissenschaftler – Ampel-Logik und Klartext-Empfehlungen statt Rohdaten-Tabellen.</w:t>
      </w:r>
    </w:p>
    <w:p>
      <w:pPr>
        <w:pStyle w:val="ListBullet"/>
      </w:pPr>
      <w:r>
        <w:rPr>
          <w:b/>
          <w:color w:val="0E965A"/>
        </w:rPr>
        <w:t xml:space="preserve">Datenschutz: </w:t>
      </w:r>
      <w:r>
        <w:t>DSGVO-konform, Serverstandort Deutschland, „Made in Germany“ – ein echter Vertrauensvorteil bei sensiblen Gesundheitsdaten.</w:t>
      </w:r>
    </w:p>
    <w:p>
      <w:pPr>
        <w:pStyle w:val="Heading2"/>
        <w:spacing w:before="240" w:after="80"/>
      </w:pPr>
      <w:r>
        <w:rPr>
          <w:b/>
          <w:color w:val="0A0F1A"/>
          <w:sz w:val="28"/>
        </w:rPr>
        <w:t>3.5  Wissenschaftliche Fundierung</w:t>
      </w:r>
    </w:p>
    <w:p>
      <w:r>
        <w:rPr>
          <w:i w:val="0"/>
          <w:sz w:val="22"/>
        </w:rPr>
        <w:t>Alle Kennzahlen des Systems beruhen auf etablierten sportwissenschaftlichen Methoden. Das schafft Glaubwürdigkeit gegenüber Vereinen und Verbänden und grenzt BetterSquad von rein technikgetriebenen Tracking-Gadgets ab:</w:t>
      </w:r>
    </w:p>
    <w:p>
      <w:pPr>
        <w:pStyle w:val="ListBullet"/>
      </w:pPr>
      <w:r>
        <w:rPr>
          <w:b/>
          <w:color w:val="0E965A"/>
        </w:rPr>
        <w:t xml:space="preserve">Gabbett et al.: </w:t>
      </w:r>
      <w:r>
        <w:t>ACWR-Belastungssteuerung nach Gabbett et al. als validiertes Modell zur Verletzungsprävention.</w:t>
      </w:r>
    </w:p>
    <w:p>
      <w:pPr>
        <w:pStyle w:val="ListBullet"/>
      </w:pPr>
      <w:r>
        <w:rPr>
          <w:b/>
          <w:color w:val="0E965A"/>
        </w:rPr>
        <w:t xml:space="preserve">Saw et al. (2016): </w:t>
      </w:r>
      <w:r>
        <w:t>Der Wellness-Check-in folgt der nach Saw et al. (2016) validierten Hooper-Skala zur Erfassung der subjektiven Befindlichkeit.</w:t>
      </w:r>
    </w:p>
    <w:p>
      <w:pPr>
        <w:pStyle w:val="ListBullet"/>
      </w:pPr>
      <w:r>
        <w:rPr>
          <w:b/>
          <w:color w:val="0E965A"/>
        </w:rPr>
        <w:t xml:space="preserve">HRV-Forschung: </w:t>
      </w:r>
      <w:r>
        <w:t>HRV als anerkannter physiologischer Marker für Regeneration und autonome Erholungsfähigkeit.</w:t>
      </w:r>
    </w:p>
    <w:p>
      <w:pPr>
        <w:pStyle w:val="Heading2"/>
        <w:spacing w:before="240" w:after="80"/>
      </w:pPr>
      <w:r>
        <w:rPr>
          <w:b/>
          <w:color w:val="0A0F1A"/>
          <w:sz w:val="28"/>
        </w:rPr>
        <w:t>3.6  Entwicklungsstand &amp; Roadmap</w:t>
      </w:r>
    </w:p>
    <w:p>
      <w:r>
        <w:rPr>
          <w:i w:val="0"/>
          <w:sz w:val="22"/>
        </w:rPr>
        <w:t>Der funktionsfähige Frontend-Prototyp aus Trainer-Dashboard und Spieler-App bildet den vollständigen Nutzungsablauf bereits ab und dient als Grundlage für Pilotvereine und Pitch. Die weitere Entwicklung gliedert sich in nachvollziehbare Schritte:</w:t>
      </w:r>
    </w:p>
    <w:p>
      <w:pPr>
        <w:pStyle w:val="ListBullet"/>
      </w:pPr>
      <w:r>
        <w:rPr>
          <w:b/>
          <w:color w:val="0E965A"/>
        </w:rPr>
        <w:t xml:space="preserve">Status quo: </w:t>
      </w:r>
      <w:r>
        <w:t>Validierter, klickbarer Prototyp des End-to-End-Nutzerflusses.</w:t>
      </w:r>
    </w:p>
    <w:p>
      <w:pPr>
        <w:pStyle w:val="ListBullet"/>
      </w:pPr>
      <w:r>
        <w:rPr>
          <w:b/>
          <w:color w:val="0E965A"/>
        </w:rPr>
        <w:t xml:space="preserve">Phase 1: </w:t>
      </w:r>
      <w:r>
        <w:t>Hardware-Anbindung (Live-Datenstrom GPS + Polar H10), Cloud-Backend, Pilotbetrieb in 1–2 Vereinen.</w:t>
      </w:r>
    </w:p>
    <w:p>
      <w:pPr>
        <w:pStyle w:val="ListBullet"/>
      </w:pPr>
      <w:r>
        <w:rPr>
          <w:b/>
          <w:color w:val="0E965A"/>
        </w:rPr>
        <w:t xml:space="preserve">Phase 2: </w:t>
      </w:r>
      <w:r>
        <w:t>Schärfung der KI-Empfehlungen auf realen Saisondaten, Reporting-Export, Verbandsschnittstellen.</w:t>
      </w:r>
    </w:p>
    <w:p>
      <w:pPr>
        <w:pStyle w:val="ListBullet"/>
      </w:pPr>
      <w:r>
        <w:rPr>
          <w:b/>
          <w:color w:val="0E965A"/>
        </w:rPr>
        <w:t xml:space="preserve">Phase 3: </w:t>
      </w:r>
      <w:r>
        <w:t>Skalierung auf 85 Vereine bis Jahr 3, weitere Sportarten, Liga-Benchmarks.</w:t>
      </w:r>
    </w:p>
    <w:p>
      <w:pPr>
        <w:pStyle w:val="Heading2"/>
        <w:spacing w:before="240" w:after="80"/>
      </w:pPr>
      <w:r>
        <w:rPr>
          <w:b/>
          <w:color w:val="0A0F1A"/>
          <w:sz w:val="28"/>
        </w:rPr>
        <w:t>3.7  Datenschutz &amp; rechtliche Aspekte</w:t>
      </w:r>
    </w:p>
    <w:p>
      <w:r>
        <w:rPr>
          <w:i w:val="0"/>
          <w:sz w:val="22"/>
        </w:rPr>
        <w:t>Da BetterSquad sensible Gesundheits- und Leistungsdaten verarbeitet, ist Datenschutz ein integraler Produktbestandteil und kein nachgelagertes Thema. Die gesamte Datenverarbeitung erfolgt DSGVO-konform mit Serverstandort in Deutschland. Daten werden verschlüsselt übertragen, Zugriffe sind rollenbasiert (Trainer / Spieler) getrennt. Dieser klare Datenschutzfokus ist zugleich ein vertrieblicher Wettbewerbsvorteil gegenüber internationalen Anbietern.</w:t>
      </w:r>
    </w:p>
    <w:p/>
    <w:p>
      <w:r>
        <w:rPr>
          <w:i/>
          <w:color w:val="555F6E"/>
          <w:sz w:val="18"/>
        </w:rPr>
        <w:t>BetterSquad · Businessplan Teil 3: Produkt / Dienstleistung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