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000000"/>
          <w:sz w:val="36"/>
        </w:rPr>
        <w:t>BetterSquad  |  Businessplan</w:t>
      </w:r>
    </w:p>
    <w:p>
      <w:pPr>
        <w:spacing w:after="40"/>
        <w:jc w:val="center"/>
      </w:pPr>
      <w:r>
        <w:rPr>
          <w:rFonts w:ascii="Times New Roman" w:hAnsi="Times New Roman" w:eastAsia="Times New Roman"/>
          <w:i/>
          <w:color w:val="000000"/>
          <w:sz w:val="22"/>
        </w:rPr>
        <w:t>Investiere in deinen Kader. Nicht in einzelne Spieler:innen.</w:t>
      </w:r>
    </w:p>
    <w:p>
      <w:pPr>
        <w:spacing w:after="200"/>
        <w:jc w:val="center"/>
      </w:pPr>
      <w:r>
        <w:rPr>
          <w:rFonts w:ascii="Times New Roman" w:hAnsi="Times New Roman" w:eastAsia="Times New Roman"/>
          <w:color w:val="000000"/>
          <w:sz w:val="20"/>
        </w:rPr>
        <w:t>WiSo Köln · Bachelorseminar · Wintersemester 2024/25</w:t>
      </w:r>
    </w:p>
    <w:p>
      <w:pPr>
        <w:pBdr>
          <w:bottom w:val="single" w:sz="6" w:space="1" w:color="000000"/>
        </w:pBdr>
        <w:spacing w:after="200"/>
      </w:pPr>
    </w:p>
    <w:p>
      <w:pPr>
        <w:pStyle w:val="Heading1"/>
      </w:pPr>
      <w:r>
        <w:rPr>
          <w:rFonts w:ascii="Times New Roman" w:hAnsi="Times New Roman" w:eastAsia="Times New Roman"/>
          <w:color w:val="000000"/>
        </w:rPr>
        <w:t>3  Produkt / Dienstleistung</w:t>
      </w:r>
    </w:p>
    <w:p>
      <w:pPr>
        <w:spacing w:after="120"/>
        <w:jc w:val="both"/>
      </w:pPr>
      <w:r>
        <w:rPr>
          <w:rFonts w:ascii="Times New Roman" w:hAnsi="Times New Roman" w:eastAsia="Times New Roman"/>
          <w:color w:val="000000"/>
        </w:rPr>
        <w:t>Dieses Kapitel beschreibt das Leistungsangebot von BetterSquad entlang der beiden untrennbaren Bausteine Hardware und Software. BetterSquad ist ein integriertes Belastungssteuerungs-System für den Amateur- und Semi-Pro-Frauenfußball im DACH-Raum, das professionelle Methodik der Belastungssteuerung für Frauenabteilungen verfügbar macht – als schlüsselfertiges Komplettsystem aus tragbarer Sensorik und cloudbasierter Analysesoftware.</w:t>
      </w:r>
    </w:p>
    <w:p>
      <w:pPr>
        <w:pStyle w:val="Heading2"/>
      </w:pPr>
      <w:r>
        <w:rPr>
          <w:rFonts w:ascii="Times New Roman" w:hAnsi="Times New Roman" w:eastAsia="Times New Roman"/>
          <w:color w:val="000000"/>
        </w:rPr>
        <w:t>3.1  Produktüberblick und Wertversprechen</w:t>
      </w:r>
    </w:p>
    <w:p>
      <w:pPr>
        <w:spacing w:after="120"/>
        <w:jc w:val="both"/>
      </w:pPr>
      <w:r>
        <w:rPr>
          <w:rFonts w:ascii="Times New Roman" w:hAnsi="Times New Roman" w:eastAsia="Times New Roman"/>
          <w:color w:val="000000"/>
        </w:rPr>
        <w:t>BetterSquad verbindet vereinseigene Sensor-Hardware im Pool-Modell mit einer Software-Plattform, die rohe Mess- und Befindlichkeitsdaten nicht als Performance-Dashboard ausgibt, sondern zu einer konkreten, individuell auf die Spielerin kalibrierten Trainingsempfehlung verdichtet. Der inhaltliche Kern ist damit kein Tracking-Gadget, sondern ein female-informed Decision Layer: eine Entscheidungsschicht, die die äußere Belastung (GPS), die innere Belastung (Herzfrequenz und HRV) und das subjektive Befinden (Hooper-Index) auf Basis individueller Baselines jeder Spielerin auswertet.</w:t>
      </w:r>
    </w:p>
    <w:p>
      <w:pPr>
        <w:spacing w:after="120"/>
        <w:jc w:val="both"/>
      </w:pPr>
      <w:r>
        <w:rPr>
          <w:rFonts w:ascii="Times New Roman" w:hAnsi="Times New Roman" w:eastAsia="Times New Roman"/>
          <w:color w:val="000000"/>
        </w:rPr>
        <w:t>Das Angebot adressiert eine strukturelle Lücke: Etablierte Hardware-Anbieter richten sich mit Pro-Spieler:in-Preislogik und überwiegend aus Männermessungen abgeleiteten Referenzwerten an Elite- und Profistrukturen, während female-spezifische Software-Plattformen zwar die Frauenphysiologie adressieren, aber weder Vereins-Hardware noch eine objektive, belastungsbasierte Steuerung bieten. BetterSquad besetzt genau die Schnittstelle beider Welten.</w:t>
      </w:r>
    </w:p>
    <w:p>
      <w:pPr>
        <w:spacing w:after="120"/>
        <w:jc w:val="both"/>
      </w:pPr>
      <w:r>
        <w:rPr>
          <w:rFonts w:ascii="Times New Roman" w:hAnsi="Times New Roman" w:eastAsia="Times New Roman"/>
          <w:color w:val="000000"/>
        </w:rPr>
        <w:t>Das Produkt besteht aus drei aufeinander abgestimmten Bausteinen: (1) einer vereinseigenen Hardware im geteilten Sensor-Pool, (2) einer Software-Plattform aus Trainer:innen-Dashboard und Spieler:innen-App sowie (3) einem female-informed Decision Layer mit datenschutzfreundlicher Architektur.</w:t>
      </w:r>
    </w:p>
    <w:tbl>
      <w:tblPr>
        <w:tblW w:type="auto" w:w="0"/>
        <w:jc w:val="center"/>
        <w:tblLook w:firstColumn="1" w:firstRow="1" w:lastColumn="0" w:lastRow="0" w:noHBand="0" w:noVBand="1" w:val="04A0"/>
      </w:tblPr>
      <w:tblGrid>
        <w:gridCol w:w="9406"/>
      </w:tblGrid>
      <w:tr>
        <w:tc>
          <w:tcPr>
            <w:tcW w:type="dxa" w:w="9406"/>
            <w:tcBorders>
              <w:top w:val="single" w:sz="4" w:space="0" w:color="000000"/>
              <w:left w:val="single" w:sz="4" w:space="0" w:color="000000"/>
              <w:bottom w:val="single" w:sz="4" w:space="0" w:color="000000"/>
              <w:right w:val="single" w:sz="4" w:space="0" w:color="000000"/>
            </w:tcBorders>
          </w:tcPr>
          <w:p>
            <w:pPr>
              <w:spacing w:after="60"/>
            </w:pPr>
            <w:r>
              <w:rPr>
                <w:rFonts w:ascii="Times New Roman" w:hAnsi="Times New Roman" w:eastAsia="Times New Roman"/>
                <w:b/>
                <w:color w:val="000000"/>
              </w:rPr>
              <w:t>Kernversprechen</w:t>
            </w:r>
          </w:p>
          <w:p>
            <w:pPr>
              <w:jc w:val="both"/>
            </w:pPr>
            <w:r>
              <w:rPr>
                <w:rFonts w:ascii="Times New Roman" w:hAnsi="Times New Roman" w:eastAsia="Times New Roman"/>
                <w:color w:val="000000"/>
              </w:rPr>
              <w:t>Profi-Methodik der Belastungssteuerung zum Amateur-Preis: ab 219 €/Monat statt vier- bis fünfstelliger Jahresaufwände bei Pro-Gerät-Modellen – DSGVO-konform, mit Serverstandort Deutschland und female-informed Decision Layer.</w:t>
            </w:r>
          </w:p>
        </w:tc>
      </w:tr>
    </w:tbl>
    <w:p>
      <w:pPr>
        <w:spacing w:after="80"/>
      </w:pPr>
    </w:p>
    <w:p>
      <w:pPr>
        <w:pStyle w:val="Heading2"/>
      </w:pPr>
      <w:r>
        <w:rPr>
          <w:rFonts w:ascii="Times New Roman" w:hAnsi="Times New Roman" w:eastAsia="Times New Roman"/>
          <w:color w:val="000000"/>
        </w:rPr>
        <w:t>3.2  Hardware: vereinseigener Sensor-Pool</w:t>
      </w:r>
    </w:p>
    <w:p>
      <w:pPr>
        <w:spacing w:after="120"/>
        <w:jc w:val="both"/>
      </w:pPr>
      <w:r>
        <w:rPr>
          <w:rFonts w:ascii="Times New Roman" w:hAnsi="Times New Roman" w:eastAsia="Times New Roman"/>
          <w:color w:val="000000"/>
        </w:rPr>
        <w:t>Die Hardware bildet die objektive Datengrundlage des Systems. In der Markteintrittsphase setzt BetterSquad bewusst auf erprobte, kalibrierte Standardkomponenten statt auf teure Eigenentwicklungen. Das senkt Stückkosten und Ausfallrisiko, verkürzt die Time-to-Market und sichert von Beginn an eine validierte Messqualität. Mit wachsender installierter Basis ist die Eigenfertigung des Herzfrequenz-Sensors als strategischer Schritt zur vertikalen Integration vorgesehen (siehe 3.2.6). Die Geräte werden nicht – wie im Pro-Spieler:in-Modell der etablierten Anbieter – einzeln pro Athletin beschafft, sondern der Frauenabteilung als geteilter Pool zur Verfügung gestellt. Eine typische Abteilung mit drei bis fünf Teams und 60 bis 80 Spielerinnen wird so mit einem überschaubaren Gerätebestand abgedeckt.</w:t>
      </w:r>
    </w:p>
    <w:p>
      <w:pPr>
        <w:pStyle w:val="Heading3"/>
      </w:pPr>
      <w:r>
        <w:rPr>
          <w:rFonts w:ascii="Times New Roman" w:hAnsi="Times New Roman" w:eastAsia="Times New Roman"/>
          <w:color w:val="000000"/>
        </w:rPr>
        <w:t>3.2.1  GPS-Tracker (äußere Belastung)</w:t>
      </w:r>
    </w:p>
    <w:p>
      <w:pPr>
        <w:spacing w:after="120"/>
        <w:jc w:val="both"/>
      </w:pPr>
      <w:r>
        <w:rPr>
          <w:rFonts w:ascii="Times New Roman" w:hAnsi="Times New Roman" w:eastAsia="Times New Roman"/>
          <w:color w:val="000000"/>
        </w:rPr>
        <w:t>Der GPS-Tracker wird in einer leichten Trageweste zwischen den Schulterblättern getragen und erfasst die äußere Belastung in Echtzeit:</w:t>
      </w:r>
    </w:p>
    <w:p>
      <w:pPr>
        <w:pStyle w:val="ListBullet"/>
        <w:spacing w:after="40"/>
        <w:jc w:val="both"/>
      </w:pPr>
      <w:r>
        <w:rPr>
          <w:rFonts w:ascii="Times New Roman" w:hAnsi="Times New Roman" w:eastAsia="Times New Roman"/>
          <w:b/>
          <w:color w:val="000000"/>
        </w:rPr>
        <w:t xml:space="preserve">Laufleistung: </w:t>
      </w:r>
      <w:r>
        <w:rPr>
          <w:rFonts w:ascii="Times New Roman" w:hAnsi="Times New Roman" w:eastAsia="Times New Roman"/>
          <w:color w:val="000000"/>
        </w:rPr>
        <w:t>Zurückgelegte Distanz und Distanz in Hochintensitäts-Zonen</w:t>
      </w:r>
    </w:p>
    <w:p>
      <w:pPr>
        <w:pStyle w:val="ListBullet"/>
        <w:spacing w:after="40"/>
        <w:jc w:val="both"/>
      </w:pPr>
      <w:r>
        <w:rPr>
          <w:rFonts w:ascii="Times New Roman" w:hAnsi="Times New Roman" w:eastAsia="Times New Roman"/>
          <w:b/>
          <w:color w:val="000000"/>
        </w:rPr>
        <w:t xml:space="preserve">Sprints &amp; Speed: </w:t>
      </w:r>
      <w:r>
        <w:rPr>
          <w:rFonts w:ascii="Times New Roman" w:hAnsi="Times New Roman" w:eastAsia="Times New Roman"/>
          <w:color w:val="000000"/>
        </w:rPr>
        <w:t>Anzahl der Sprints sowie Höchstgeschwindigkeit (km/h)</w:t>
      </w:r>
    </w:p>
    <w:p>
      <w:pPr>
        <w:pStyle w:val="ListBullet"/>
        <w:spacing w:after="40"/>
        <w:jc w:val="both"/>
      </w:pPr>
      <w:r>
        <w:rPr>
          <w:rFonts w:ascii="Times New Roman" w:hAnsi="Times New Roman" w:eastAsia="Times New Roman"/>
          <w:b/>
          <w:color w:val="000000"/>
        </w:rPr>
        <w:t xml:space="preserve">HI-Runs: </w:t>
      </w:r>
      <w:r>
        <w:rPr>
          <w:rFonts w:ascii="Times New Roman" w:hAnsi="Times New Roman" w:eastAsia="Times New Roman"/>
          <w:color w:val="000000"/>
        </w:rPr>
        <w:t>High-Intensity-Runs als Indikator azyklischer Belastung</w:t>
      </w:r>
    </w:p>
    <w:p>
      <w:pPr>
        <w:pStyle w:val="ListBullet"/>
        <w:spacing w:after="40"/>
        <w:jc w:val="both"/>
      </w:pPr>
      <w:r>
        <w:rPr>
          <w:rFonts w:ascii="Times New Roman" w:hAnsi="Times New Roman" w:eastAsia="Times New Roman"/>
          <w:b/>
          <w:color w:val="000000"/>
        </w:rPr>
        <w:t xml:space="preserve">Acc/Dec: </w:t>
      </w:r>
      <w:r>
        <w:rPr>
          <w:rFonts w:ascii="Times New Roman" w:hAnsi="Times New Roman" w:eastAsia="Times New Roman"/>
          <w:color w:val="000000"/>
        </w:rPr>
        <w:t>Beschleunigungs- und Abbrems-Lasten zur Erkennung von Asymmetrien</w:t>
      </w:r>
    </w:p>
    <w:p>
      <w:pPr>
        <w:spacing w:after="120"/>
        <w:jc w:val="both"/>
      </w:pPr>
      <w:r>
        <w:rPr>
          <w:rFonts w:ascii="Times New Roman" w:hAnsi="Times New Roman" w:eastAsia="Times New Roman"/>
          <w:color w:val="000000"/>
        </w:rPr>
        <w:t>Aus diesen Rohdaten wird die externe Tageslast (Load) berechnet, die als Grundgröße in das ACWR-Modell einfließt.</w:t>
      </w:r>
    </w:p>
    <w:p>
      <w:pPr>
        <w:pStyle w:val="Heading3"/>
      </w:pPr>
      <w:r>
        <w:rPr>
          <w:rFonts w:ascii="Times New Roman" w:hAnsi="Times New Roman" w:eastAsia="Times New Roman"/>
          <w:color w:val="000000"/>
        </w:rPr>
        <w:t>3.2.2  Magene-H603-Brustgurte (innere Belastung &amp; Recovery)</w:t>
      </w:r>
    </w:p>
    <w:p>
      <w:pPr>
        <w:spacing w:after="120"/>
        <w:jc w:val="both"/>
      </w:pPr>
      <w:r>
        <w:rPr>
          <w:rFonts w:ascii="Times New Roman" w:hAnsi="Times New Roman" w:eastAsia="Times New Roman"/>
          <w:color w:val="000000"/>
        </w:rPr>
        <w:t>Der dual-mode-fähige EKG-Brustgurt Magene H603 misst die innere Belastung und liefert die Datenbasis für das Recovery-Monitoring:</w:t>
      </w:r>
    </w:p>
    <w:p>
      <w:pPr>
        <w:pStyle w:val="ListBullet"/>
        <w:spacing w:after="40"/>
        <w:jc w:val="both"/>
      </w:pPr>
      <w:r>
        <w:rPr>
          <w:rFonts w:ascii="Times New Roman" w:hAnsi="Times New Roman" w:eastAsia="Times New Roman"/>
          <w:b/>
          <w:color w:val="000000"/>
        </w:rPr>
        <w:t xml:space="preserve">HR: </w:t>
      </w:r>
      <w:r>
        <w:rPr>
          <w:rFonts w:ascii="Times New Roman" w:hAnsi="Times New Roman" w:eastAsia="Times New Roman"/>
          <w:color w:val="000000"/>
        </w:rPr>
        <w:t>Herzfrequenz in Echtzeit aus dem EKG-Signal zur Steuerung der Trainingsintensität</w:t>
      </w:r>
    </w:p>
    <w:p>
      <w:pPr>
        <w:pStyle w:val="ListBullet"/>
        <w:spacing w:after="40"/>
        <w:jc w:val="both"/>
      </w:pPr>
      <w:r>
        <w:rPr>
          <w:rFonts w:ascii="Times New Roman" w:hAnsi="Times New Roman" w:eastAsia="Times New Roman"/>
          <w:b/>
          <w:color w:val="000000"/>
        </w:rPr>
        <w:t xml:space="preserve">HRV: </w:t>
      </w:r>
      <w:r>
        <w:rPr>
          <w:rFonts w:ascii="Times New Roman" w:hAnsi="Times New Roman" w:eastAsia="Times New Roman"/>
          <w:color w:val="000000"/>
        </w:rPr>
        <w:t>Herzfrequenzvariabilität auf Basis der RR-Intervalle als sensibler Frühindikator der Regeneration</w:t>
      </w:r>
    </w:p>
    <w:p>
      <w:pPr>
        <w:pStyle w:val="ListBullet"/>
        <w:spacing w:after="40"/>
        <w:jc w:val="both"/>
      </w:pPr>
      <w:r>
        <w:rPr>
          <w:rFonts w:ascii="Times New Roman" w:hAnsi="Times New Roman" w:eastAsia="Times New Roman"/>
          <w:b/>
          <w:color w:val="000000"/>
        </w:rPr>
        <w:t xml:space="preserve">Recovery: </w:t>
      </w:r>
      <w:r>
        <w:rPr>
          <w:rFonts w:ascii="Times New Roman" w:hAnsi="Times New Roman" w:eastAsia="Times New Roman"/>
          <w:color w:val="000000"/>
        </w:rPr>
        <w:t>Trendanalyse über Tage, um Überlastung mehrere Tage früher zu erkennen</w:t>
      </w:r>
    </w:p>
    <w:p>
      <w:pPr>
        <w:spacing w:after="120"/>
        <w:jc w:val="both"/>
      </w:pPr>
      <w:r>
        <w:rPr>
          <w:rFonts w:ascii="Times New Roman" w:hAnsi="Times New Roman" w:eastAsia="Times New Roman"/>
          <w:color w:val="000000"/>
        </w:rPr>
        <w:t>Der Magene H603 nutzt eine dedizierte EKG-Auswerteschaltung mit bewegungs- und schweißkompensierendem Algorithmus, Trockenelektroden sowie die gleichzeitige Übertragung über ANT+ und Bluetooth. Mit IP67-Schutz und auswechselbarer CR2032-Batterie (rund 1.000 Betriebsstunden) ist er für den robusten Trainingsalltag ausgelegt. Als etablierter, kalibrierter Industriestandard liefert er eine hohe Messgüte bei niedrigen Beschaffungs- und Wartungskosten – die ideale Datenbasis für das Pool-Modell und zugleich die technologische Referenz für die geplante Eigenfertigung (siehe 3.2.6). Vergleichbare Dual-Mode-Gurte (z. B. Coospo H6, Magene H64) stehen als Zweitquelle für eine ausfallsichere Beschaffung zur Verfügung.</w:t>
      </w:r>
    </w:p>
    <w:p>
      <w:pPr>
        <w:pStyle w:val="Heading3"/>
      </w:pPr>
      <w:r>
        <w:rPr>
          <w:rFonts w:ascii="Times New Roman" w:hAnsi="Times New Roman" w:eastAsia="Times New Roman"/>
          <w:color w:val="000000"/>
        </w:rPr>
        <w:t>3.2.3  Tracker-Dock &amp; QR-Checkout</w:t>
      </w:r>
    </w:p>
    <w:p>
      <w:pPr>
        <w:spacing w:after="120"/>
        <w:jc w:val="both"/>
      </w:pPr>
      <w:r>
        <w:rPr>
          <w:rFonts w:ascii="Times New Roman" w:hAnsi="Times New Roman" w:eastAsia="Times New Roman"/>
          <w:color w:val="000000"/>
        </w:rPr>
        <w:t>Die Geräte lagern und laden in einem zentralen Tracker-Dock. Vor dem Training scannt jede Spielerin über die App einen QR-Code am Dock und bekommt automatisch einen freien Tracker sowie einen Brustgurt zugewiesen. Das löst zwei zentrale Praxisprobleme des Amateurbetriebs: Es macht eine feste 1:1-Zuordnung überflüssig (Voraussetzung des Pool-Modells) und stellt die korrekte, verwechslungsfreie Datenzuordnung sicher, ohne dass Personal Geräte manuell verteilen muss.</w:t>
      </w:r>
    </w:p>
    <w:p>
      <w:pPr>
        <w:pStyle w:val="ListBullet"/>
        <w:spacing w:after="40"/>
        <w:jc w:val="both"/>
      </w:pPr>
      <w:r>
        <w:rPr>
          <w:rFonts w:ascii="Times New Roman" w:hAnsi="Times New Roman" w:eastAsia="Times New Roman"/>
          <w:b/>
          <w:color w:val="000000"/>
        </w:rPr>
        <w:t xml:space="preserve">Self-Checkout: </w:t>
      </w:r>
      <w:r>
        <w:rPr>
          <w:rFonts w:ascii="Times New Roman" w:hAnsi="Times New Roman" w:eastAsia="Times New Roman"/>
          <w:color w:val="000000"/>
        </w:rPr>
        <w:t>Automatische Zuweisung von Tracker- und Gurt-Nummer per QR-Scan</w:t>
      </w:r>
    </w:p>
    <w:p>
      <w:pPr>
        <w:pStyle w:val="ListBullet"/>
        <w:spacing w:after="40"/>
        <w:jc w:val="both"/>
      </w:pPr>
      <w:r>
        <w:rPr>
          <w:rFonts w:ascii="Times New Roman" w:hAnsi="Times New Roman" w:eastAsia="Times New Roman"/>
          <w:b/>
          <w:color w:val="000000"/>
        </w:rPr>
        <w:t xml:space="preserve">Pool-Transparenz: </w:t>
      </w:r>
      <w:r>
        <w:rPr>
          <w:rFonts w:ascii="Times New Roman" w:hAnsi="Times New Roman" w:eastAsia="Times New Roman"/>
          <w:color w:val="000000"/>
        </w:rPr>
        <w:t>Live-Übersicht über verfügbare, ausgegebene und in Wartung befindliche Geräte</w:t>
      </w:r>
    </w:p>
    <w:p>
      <w:pPr>
        <w:pStyle w:val="ListBullet"/>
        <w:spacing w:after="40"/>
        <w:jc w:val="both"/>
      </w:pPr>
      <w:r>
        <w:rPr>
          <w:rFonts w:ascii="Times New Roman" w:hAnsi="Times New Roman" w:eastAsia="Times New Roman"/>
          <w:b/>
          <w:color w:val="000000"/>
        </w:rPr>
        <w:t xml:space="preserve">Onboarding: </w:t>
      </w:r>
      <w:r>
        <w:rPr>
          <w:rFonts w:ascii="Times New Roman" w:hAnsi="Times New Roman" w:eastAsia="Times New Roman"/>
          <w:color w:val="000000"/>
        </w:rPr>
        <w:t>Geführte Schritt-für-Schritt-Anlage (Weste anlegen, Gurt befeuchten, Bluetooth prüfen)</w:t>
      </w:r>
    </w:p>
    <w:p>
      <w:pPr>
        <w:pStyle w:val="Heading3"/>
      </w:pPr>
      <w:r>
        <w:rPr>
          <w:rFonts w:ascii="Times New Roman" w:hAnsi="Times New Roman" w:eastAsia="Times New Roman"/>
          <w:color w:val="000000"/>
        </w:rPr>
        <w:t>3.2.4  Pool-Modell &amp; Pakete</w:t>
      </w:r>
    </w:p>
    <w:p>
      <w:pPr>
        <w:spacing w:after="120"/>
        <w:jc w:val="both"/>
      </w:pPr>
      <w:r>
        <w:rPr>
          <w:rFonts w:ascii="Times New Roman" w:hAnsi="Times New Roman" w:eastAsia="Times New Roman"/>
          <w:color w:val="000000"/>
        </w:rPr>
        <w:t>Eine Vereinslizenz deckt die gesamte Frauenabteilung ab; der Hardware-Umfang skaliert mit dem gewählten Paket:</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b/>
                <w:color w:val="000000"/>
              </w:rPr>
              <w:t>Paket</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b/>
                <w:color w:val="000000"/>
              </w:rPr>
              <w:t>Preis / Monat</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b/>
                <w:color w:val="000000"/>
              </w:rPr>
              <w:t>GPS-Tracker</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b/>
                <w:color w:val="000000"/>
              </w:rPr>
              <w:t>Magene H603</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b/>
                <w:color w:val="000000"/>
              </w:rPr>
              <w:t>Teams</w:t>
            </w:r>
          </w:p>
        </w:tc>
      </w:tr>
      <w:tr>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Starter</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219 €</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15</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15</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bis zu 2</w:t>
            </w:r>
          </w:p>
        </w:tc>
      </w:tr>
      <w:tr>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Pro</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349 €</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25</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25</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bis zu 4</w:t>
            </w:r>
          </w:p>
        </w:tc>
      </w:tr>
      <w:tr>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Elite</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459 €</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35</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35</w:t>
            </w:r>
          </w:p>
        </w:tc>
        <w:tc>
          <w:tcPr>
            <w:tcW w:type="dxa" w:w="1881"/>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color w:val="000000"/>
              </w:rPr>
              <w:t>unbegrenzt</w:t>
            </w:r>
          </w:p>
        </w:tc>
      </w:tr>
    </w:tbl>
    <w:p>
      <w:pPr>
        <w:spacing w:after="80"/>
      </w:pPr>
    </w:p>
    <w:p>
      <w:pPr>
        <w:spacing w:after="120"/>
        <w:jc w:val="both"/>
      </w:pPr>
      <w:r>
        <w:rPr>
          <w:rFonts w:ascii="Times New Roman" w:hAnsi="Times New Roman" w:eastAsia="Times New Roman"/>
          <w:color w:val="000000"/>
        </w:rPr>
        <w:t>Zusätzlich sind Trageschutzwesten, Ersatzbänder (z. B. 48 Stück) sowie das Lade- und Checkout-Dock enthalten. Die Hardware wird über eine einmalige Anzahlung (2.200–4.200 €) und die laufende Lizenz finanziert; sie verbleibt im Nutzungsrecht der Abteilung. Die geteilte Nutzung ist nicht nur ein Preisvorteil, sondern erzeugt zugleich Wechselkosten: Konfiguration und individuelle Baselines der Spielerinnen entstehen über Monate und gingen bei einem Anbieterwechsel verloren.</w:t>
      </w:r>
    </w:p>
    <w:p>
      <w:pPr>
        <w:pStyle w:val="Heading3"/>
      </w:pPr>
      <w:r>
        <w:rPr>
          <w:rFonts w:ascii="Times New Roman" w:hAnsi="Times New Roman" w:eastAsia="Times New Roman"/>
          <w:color w:val="000000"/>
        </w:rPr>
        <w:t>3.2.5  Hardware-Kostenbasis &amp; Beschaffungsannahmen</w:t>
      </w:r>
    </w:p>
    <w:p>
      <w:pPr>
        <w:spacing w:after="120"/>
        <w:jc w:val="both"/>
      </w:pPr>
      <w:r>
        <w:rPr>
          <w:rFonts w:ascii="Times New Roman" w:hAnsi="Times New Roman" w:eastAsia="Times New Roman"/>
          <w:color w:val="000000"/>
        </w:rPr>
        <w:t>Die Hardware-Strategie setzt bewusst auf erprobte Standardkomponenten statt teurer Komplettlösungen. Daraus lassen sich konservative, aber realistische Einkaufsannahmen für die Finanzplanung herleiten, die deutlich unter den Pro-Gerät-Preisen fertiger Teamsysteme liegen, ohne unrealistische Phantasiepreise anzusetzen:</w:t>
      </w:r>
    </w:p>
    <w:p>
      <w:pPr>
        <w:pStyle w:val="ListBullet"/>
        <w:spacing w:after="40"/>
        <w:jc w:val="both"/>
      </w:pPr>
      <w:r>
        <w:rPr>
          <w:rFonts w:ascii="Times New Roman" w:hAnsi="Times New Roman" w:eastAsia="Times New Roman"/>
          <w:b/>
          <w:color w:val="000000"/>
        </w:rPr>
        <w:t xml:space="preserve">EKG-Brustgurt (HR/HRV): </w:t>
      </w:r>
      <w:r>
        <w:rPr>
          <w:rFonts w:ascii="Times New Roman" w:hAnsi="Times New Roman" w:eastAsia="Times New Roman"/>
          <w:color w:val="000000"/>
        </w:rPr>
        <w:t>Als Standardkomponente kommt der Dual-Mode-Gurt (ANT+/Bluetooth) Magene H603 zum Einsatz (Marktpreis ≈ 25–35 €). Arbeitsannahme: 30 € pro Brustgurt im Einkauf (inkl. MwSt./Import, vor Mengenrabatt).</w:t>
      </w:r>
    </w:p>
    <w:p>
      <w:pPr>
        <w:pStyle w:val="ListBullet"/>
        <w:spacing w:after="40"/>
        <w:jc w:val="both"/>
      </w:pPr>
      <w:r>
        <w:rPr>
          <w:rFonts w:ascii="Times New Roman" w:hAnsi="Times New Roman" w:eastAsia="Times New Roman"/>
          <w:b/>
          <w:color w:val="000000"/>
        </w:rPr>
        <w:t xml:space="preserve">GNSS-/GPS-Tracker (Board + Antenne): </w:t>
      </w:r>
      <w:r>
        <w:rPr>
          <w:rFonts w:ascii="Times New Roman" w:hAnsi="Times New Roman" w:eastAsia="Times New Roman"/>
          <w:color w:val="000000"/>
        </w:rPr>
        <w:t>Statt fertiger 200-€-Tracker kommen integrierbare GNSS-Boards zum Einsatz – z. B. Seeed-Studio-Wio-WM1110-Dev-Kit (≈ 30–45 €) oder Quectel-L76K-Boards (≈ 19–30 €). Arbeitsannahme: 30 € pro GNSS-Tracker-Einheit (Board + Antenne) im Einkauf.</w:t>
      </w:r>
    </w:p>
    <w:p>
      <w:pPr>
        <w:pStyle w:val="ListBullet"/>
        <w:spacing w:after="40"/>
        <w:jc w:val="both"/>
      </w:pPr>
      <w:r>
        <w:rPr>
          <w:rFonts w:ascii="Times New Roman" w:hAnsi="Times New Roman" w:eastAsia="Times New Roman"/>
          <w:b/>
          <w:color w:val="000000"/>
        </w:rPr>
        <w:t xml:space="preserve">Sensor-Hardware je Spielerin: </w:t>
      </w:r>
      <w:r>
        <w:rPr>
          <w:rFonts w:ascii="Times New Roman" w:hAnsi="Times New Roman" w:eastAsia="Times New Roman"/>
          <w:color w:val="000000"/>
        </w:rPr>
        <w:t>Brustgurt (≈ 30 €) + GNSS-Board (≈ 30 €) ≈ 60 € reine Sensor-Stückkosten – ohne Gehäuse, Weste und Ladestation, die separat pauschaliert werden.</w:t>
      </w:r>
    </w:p>
    <w:p>
      <w:pPr>
        <w:pStyle w:val="ListBullet"/>
        <w:spacing w:after="40"/>
        <w:jc w:val="both"/>
      </w:pPr>
      <w:r>
        <w:rPr>
          <w:rFonts w:ascii="Times New Roman" w:hAnsi="Times New Roman" w:eastAsia="Times New Roman"/>
          <w:b/>
          <w:color w:val="000000"/>
        </w:rPr>
        <w:t xml:space="preserve">Set-Kalkulation: </w:t>
      </w:r>
      <w:r>
        <w:rPr>
          <w:rFonts w:ascii="Times New Roman" w:hAnsi="Times New Roman" w:eastAsia="Times New Roman"/>
          <w:color w:val="000000"/>
        </w:rPr>
        <w:t>Bei z. B. 20 Einheiten ≈ 1.200 € reine Sensor-Hardware; inkl. Gehäuse, Westen, Lade-/Checkout-Dock und Reserve ergibt sich eine Arbeitsannahme von rund 2.500–3.000 € Gesamtkosten pro Set – konsistent mit der einmaligen Anzahlung (2.200–4.200 €) aus 3.2.4.</w:t>
      </w:r>
    </w:p>
    <w:tbl>
      <w:tblPr>
        <w:tblW w:type="auto" w:w="0"/>
        <w:jc w:val="center"/>
        <w:tblLook w:firstColumn="1" w:firstRow="1" w:lastColumn="0" w:lastRow="0" w:noHBand="0" w:noVBand="1" w:val="04A0"/>
      </w:tblPr>
      <w:tblGrid>
        <w:gridCol w:w="9406"/>
      </w:tblGrid>
      <w:tr>
        <w:tc>
          <w:tcPr>
            <w:tcW w:type="dxa" w:w="9406"/>
            <w:tcBorders>
              <w:top w:val="single" w:sz="4" w:space="0" w:color="000000"/>
              <w:left w:val="single" w:sz="4" w:space="0" w:color="000000"/>
              <w:bottom w:val="single" w:sz="4" w:space="0" w:color="000000"/>
              <w:right w:val="single" w:sz="4" w:space="0" w:color="000000"/>
            </w:tcBorders>
          </w:tcPr>
          <w:p>
            <w:pPr>
              <w:spacing w:after="60"/>
            </w:pPr>
            <w:r>
              <w:rPr>
                <w:rFonts w:ascii="Times New Roman" w:hAnsi="Times New Roman" w:eastAsia="Times New Roman"/>
                <w:b/>
                <w:color w:val="000000"/>
              </w:rPr>
              <w:t>Einordnung der Kostenannahme</w:t>
            </w:r>
          </w:p>
          <w:p>
            <w:pPr>
              <w:jc w:val="both"/>
            </w:pPr>
            <w:r>
              <w:rPr>
                <w:rFonts w:ascii="Times New Roman" w:hAnsi="Times New Roman" w:eastAsia="Times New Roman"/>
                <w:color w:val="000000"/>
              </w:rPr>
              <w:t>Fertige Teamlösungen (z. B. STATSports-, Tracktics- oder Action-Tracer-Teamsets) liegen bei rund 200 € pro Tracker bzw. etwa 2.400 € für 12 Geräte. Die konservativ kalkulierten Stückkosten von BetterSquad bleiben deutlich darunter, ohne unrealistisch niedrig zu sein – die Annahmen sind damit gegenüber Vereinen, Investor:innen und Jury robust verteidigbar.</w:t>
            </w:r>
          </w:p>
        </w:tc>
      </w:tr>
    </w:tbl>
    <w:p>
      <w:pPr>
        <w:spacing w:after="80"/>
      </w:pPr>
    </w:p>
    <w:p>
      <w:pPr>
        <w:pStyle w:val="Heading3"/>
      </w:pPr>
      <w:r>
        <w:rPr>
          <w:rFonts w:ascii="Times New Roman" w:hAnsi="Times New Roman" w:eastAsia="Times New Roman"/>
          <w:color w:val="000000"/>
        </w:rPr>
        <w:t>3.2.6  Eigenfertigung des Sensors – Make-or-Buy-Perspektive</w:t>
      </w:r>
    </w:p>
    <w:p>
      <w:pPr>
        <w:spacing w:after="120"/>
        <w:jc w:val="both"/>
      </w:pPr>
      <w:r>
        <w:rPr>
          <w:rFonts w:ascii="Times New Roman" w:hAnsi="Times New Roman" w:eastAsia="Times New Roman"/>
          <w:color w:val="000000"/>
        </w:rPr>
        <w:t>Die Beschaffung erprobter Standardgurte ist eine bewusste Make-or-Buy-Entscheidung für den Markteintritt: minimales technisches Risiko, sofortige Verfügbarkeit und validierte Messqualität. Mit wachsender installierter Basis und steigenden Stückzahlen verschiebt sich die wirtschaftliche Logik zugunsten einer Eigenfertigung des Herzfrequenz-Sensors. Der Magene H603 dient dabei als funktionale und technologische Referenz für ein eigenes Sensordesign. Diese vertikale Integration ist ein mittel- bis langfristiger Schritt und an entsprechende Stückzahlen sowie Investitionen gebunden:</w:t>
      </w:r>
    </w:p>
    <w:p>
      <w:pPr>
        <w:pStyle w:val="ListBullet"/>
        <w:spacing w:after="40"/>
        <w:jc w:val="both"/>
      </w:pPr>
      <w:r>
        <w:rPr>
          <w:rFonts w:ascii="Times New Roman" w:hAnsi="Times New Roman" w:eastAsia="Times New Roman"/>
          <w:b/>
          <w:color w:val="000000"/>
        </w:rPr>
        <w:t xml:space="preserve">Wertschöpfung &amp; Marge: </w:t>
      </w:r>
      <w:r>
        <w:rPr>
          <w:rFonts w:ascii="Times New Roman" w:hAnsi="Times New Roman" w:eastAsia="Times New Roman"/>
          <w:color w:val="000000"/>
        </w:rPr>
        <w:t>Eigenfertigung senkt die Stückkosten gegenüber dem Zukauf, erhöht die Marge je Pool und reduziert die Abhängigkeit von einzelnen Lieferanten.</w:t>
      </w:r>
    </w:p>
    <w:p>
      <w:pPr>
        <w:pStyle w:val="ListBullet"/>
        <w:spacing w:after="40"/>
        <w:jc w:val="both"/>
      </w:pPr>
      <w:r>
        <w:rPr>
          <w:rFonts w:ascii="Times New Roman" w:hAnsi="Times New Roman" w:eastAsia="Times New Roman"/>
          <w:b/>
          <w:color w:val="000000"/>
        </w:rPr>
        <w:t xml:space="preserve">Differenzierung: </w:t>
      </w:r>
      <w:r>
        <w:rPr>
          <w:rFonts w:ascii="Times New Roman" w:hAnsi="Times New Roman" w:eastAsia="Times New Roman"/>
          <w:color w:val="000000"/>
        </w:rPr>
        <w:t>Ein BetterSquad-eigener Sensor kann gezielt auf die Datenerfassung für den female-informed Decision Layer (RR-Intervall-Qualität, HRV) optimiert und firmwareseitig nahtlos in die Plattform integriert werden.</w:t>
      </w:r>
    </w:p>
    <w:p>
      <w:pPr>
        <w:pStyle w:val="ListBullet"/>
        <w:spacing w:after="40"/>
        <w:jc w:val="both"/>
      </w:pPr>
      <w:r>
        <w:rPr>
          <w:rFonts w:ascii="Times New Roman" w:hAnsi="Times New Roman" w:eastAsia="Times New Roman"/>
          <w:b/>
          <w:color w:val="000000"/>
        </w:rPr>
        <w:t xml:space="preserve">Schutzrechte: </w:t>
      </w:r>
      <w:r>
        <w:rPr>
          <w:rFonts w:ascii="Times New Roman" w:hAnsi="Times New Roman" w:eastAsia="Times New Roman"/>
          <w:color w:val="000000"/>
        </w:rPr>
        <w:t>Sensordesign, Firmware und Auswertealgorithmus sind als geistiges Eigentum (Gebrauchsmuster/Patente, urheberrechtlich geschützte Software) schützbar und erhöhen die Verteidigbarkeit gegenüber Wettbewerb und Nachahmern.</w:t>
      </w:r>
    </w:p>
    <w:p>
      <w:pPr>
        <w:pStyle w:val="ListBullet"/>
        <w:spacing w:after="40"/>
        <w:jc w:val="both"/>
      </w:pPr>
      <w:r>
        <w:rPr>
          <w:rFonts w:ascii="Times New Roman" w:hAnsi="Times New Roman" w:eastAsia="Times New Roman"/>
          <w:b/>
          <w:color w:val="000000"/>
        </w:rPr>
        <w:t xml:space="preserve">Roadmap &amp; Umsetzung: </w:t>
      </w:r>
      <w:r>
        <w:rPr>
          <w:rFonts w:ascii="Times New Roman" w:hAnsi="Times New Roman" w:eastAsia="Times New Roman"/>
          <w:color w:val="000000"/>
        </w:rPr>
        <w:t>Entwicklung eines Referenzdesigns, Qualifizierung eines EMS-Fertigungspartners (Auftragsfertigung) sowie Zertifizierung (CE, Funk-Konformität nach RED, IP-Schutzklasse) vor dem Übergang in die Serie (siehe 3.7).</w:t>
      </w:r>
    </w:p>
    <w:p>
      <w:pPr>
        <w:pStyle w:val="Heading2"/>
      </w:pPr>
      <w:r>
        <w:rPr>
          <w:rFonts w:ascii="Times New Roman" w:hAnsi="Times New Roman" w:eastAsia="Times New Roman"/>
          <w:color w:val="000000"/>
        </w:rPr>
        <w:t>3.3  Software: Decision Layer statt Rohdaten-Dashboard</w:t>
      </w:r>
    </w:p>
    <w:p>
      <w:pPr>
        <w:spacing w:after="120"/>
        <w:jc w:val="both"/>
      </w:pPr>
      <w:r>
        <w:rPr>
          <w:rFonts w:ascii="Times New Roman" w:hAnsi="Times New Roman" w:eastAsia="Times New Roman"/>
          <w:color w:val="000000"/>
        </w:rPr>
        <w:t>Die Software ist das Wertschöpfungszentrum und der zentrale Differenzierungsfaktor. Während der direkte Wettbewerb vor allem Rohdaten- und Performance-Dashboards für sportwissenschaftliche Stäbe liefert, übersetzt BetterSquad die Daten in handlungsleitende Empfehlungen, die auch ohne Sportwissenschaftler:in vor Ort verständlich sind. Als Software-as-a-Service ist die Plattform für den Verein wartungsfrei und wird kontinuierlich weiterentwickelt.</w:t>
      </w:r>
    </w:p>
    <w:p>
      <w:pPr>
        <w:pStyle w:val="Heading3"/>
      </w:pPr>
      <w:r>
        <w:rPr>
          <w:rFonts w:ascii="Times New Roman" w:hAnsi="Times New Roman" w:eastAsia="Times New Roman"/>
          <w:color w:val="000000"/>
        </w:rPr>
        <w:t>3.3.1  Trainer:innen-Dashboard &amp; Session Planner</w:t>
      </w:r>
    </w:p>
    <w:p>
      <w:pPr>
        <w:spacing w:after="120"/>
        <w:jc w:val="both"/>
      </w:pPr>
      <w:r>
        <w:rPr>
          <w:rFonts w:ascii="Times New Roman" w:hAnsi="Times New Roman" w:eastAsia="Times New Roman"/>
          <w:color w:val="000000"/>
        </w:rPr>
        <w:t>Das Web-Dashboard ist die Kommandozentrale für das Funktionsteam:</w:t>
      </w:r>
    </w:p>
    <w:p>
      <w:pPr>
        <w:pStyle w:val="ListBullet"/>
        <w:spacing w:after="40"/>
        <w:jc w:val="both"/>
      </w:pPr>
      <w:r>
        <w:rPr>
          <w:rFonts w:ascii="Times New Roman" w:hAnsi="Times New Roman" w:eastAsia="Times New Roman"/>
          <w:b/>
          <w:color w:val="000000"/>
        </w:rPr>
        <w:t xml:space="preserve">Squad-Ampel: </w:t>
      </w:r>
      <w:r>
        <w:rPr>
          <w:rFonts w:ascii="Times New Roman" w:hAnsi="Times New Roman" w:eastAsia="Times New Roman"/>
          <w:color w:val="000000"/>
        </w:rPr>
        <w:t>Grün/Gelb/Rot-Status je Spielerin auf einen Blick</w:t>
      </w:r>
    </w:p>
    <w:p>
      <w:pPr>
        <w:pStyle w:val="ListBullet"/>
        <w:spacing w:after="40"/>
        <w:jc w:val="both"/>
      </w:pPr>
      <w:r>
        <w:rPr>
          <w:rFonts w:ascii="Times New Roman" w:hAnsi="Times New Roman" w:eastAsia="Times New Roman"/>
          <w:b/>
          <w:color w:val="000000"/>
        </w:rPr>
        <w:t xml:space="preserve">ACWR-Chart: </w:t>
      </w:r>
      <w:r>
        <w:rPr>
          <w:rFonts w:ascii="Times New Roman" w:hAnsi="Times New Roman" w:eastAsia="Times New Roman"/>
          <w:color w:val="000000"/>
        </w:rPr>
        <w:t>Verlauf der durchschnittlichen und maximalen Team-ACWR über 21 Tage</w:t>
      </w:r>
    </w:p>
    <w:p>
      <w:pPr>
        <w:pStyle w:val="ListBullet"/>
        <w:spacing w:after="40"/>
        <w:jc w:val="both"/>
      </w:pPr>
      <w:r>
        <w:rPr>
          <w:rFonts w:ascii="Times New Roman" w:hAnsi="Times New Roman" w:eastAsia="Times New Roman"/>
          <w:b/>
          <w:color w:val="000000"/>
        </w:rPr>
        <w:t xml:space="preserve">KPI-Board: </w:t>
      </w:r>
      <w:r>
        <w:rPr>
          <w:rFonts w:ascii="Times New Roman" w:hAnsi="Times New Roman" w:eastAsia="Times New Roman"/>
          <w:color w:val="000000"/>
        </w:rPr>
        <w:t>Live-KPIs zur Zahl fitter, gefährdeter und Risiko-Spielerinnen</w:t>
      </w:r>
    </w:p>
    <w:p>
      <w:pPr>
        <w:pStyle w:val="ListBullet"/>
        <w:spacing w:after="40"/>
        <w:jc w:val="both"/>
      </w:pPr>
      <w:r>
        <w:rPr>
          <w:rFonts w:ascii="Times New Roman" w:hAnsi="Times New Roman" w:eastAsia="Times New Roman"/>
          <w:b/>
          <w:color w:val="000000"/>
        </w:rPr>
        <w:t xml:space="preserve">Spielerin-Detail: </w:t>
      </w:r>
      <w:r>
        <w:rPr>
          <w:rFonts w:ascii="Times New Roman" w:hAnsi="Times New Roman" w:eastAsia="Times New Roman"/>
          <w:color w:val="000000"/>
        </w:rPr>
        <w:t>Detailansicht je Spielerin mit Last-, HRV- und Hooper-Historie</w:t>
      </w:r>
    </w:p>
    <w:p>
      <w:pPr>
        <w:pStyle w:val="ListBullet"/>
        <w:spacing w:after="40"/>
        <w:jc w:val="both"/>
      </w:pPr>
      <w:r>
        <w:rPr>
          <w:rFonts w:ascii="Times New Roman" w:hAnsi="Times New Roman" w:eastAsia="Times New Roman"/>
          <w:b/>
          <w:color w:val="000000"/>
        </w:rPr>
        <w:t xml:space="preserve">Session Planner: </w:t>
      </w:r>
      <w:r>
        <w:rPr>
          <w:rFonts w:ascii="Times New Roman" w:hAnsi="Times New Roman" w:eastAsia="Times New Roman"/>
          <w:color w:val="000000"/>
        </w:rPr>
        <w:t>Kaderverfügbarkeits-Matrix mit empfohlener individueller Intensität, exportierbar als Sessionplan</w:t>
      </w:r>
    </w:p>
    <w:p>
      <w:pPr>
        <w:pStyle w:val="Heading3"/>
      </w:pPr>
      <w:r>
        <w:rPr>
          <w:rFonts w:ascii="Times New Roman" w:hAnsi="Times New Roman" w:eastAsia="Times New Roman"/>
          <w:color w:val="000000"/>
        </w:rPr>
        <w:t>3.3.2  Spieler:innen-App</w:t>
      </w:r>
    </w:p>
    <w:p>
      <w:pPr>
        <w:spacing w:after="120"/>
        <w:jc w:val="both"/>
      </w:pPr>
      <w:r>
        <w:rPr>
          <w:rFonts w:ascii="Times New Roman" w:hAnsi="Times New Roman" w:eastAsia="Times New Roman"/>
          <w:color w:val="000000"/>
        </w:rPr>
        <w:t>Die mobile App bindet die Athletin aktiv in den Steuerungskreislauf ein:</w:t>
      </w:r>
    </w:p>
    <w:p>
      <w:pPr>
        <w:pStyle w:val="ListBullet"/>
        <w:spacing w:after="40"/>
        <w:jc w:val="both"/>
      </w:pPr>
      <w:r>
        <w:rPr>
          <w:rFonts w:ascii="Times New Roman" w:hAnsi="Times New Roman" w:eastAsia="Times New Roman"/>
          <w:b/>
          <w:color w:val="000000"/>
        </w:rPr>
        <w:t xml:space="preserve">Readiness: </w:t>
      </w:r>
      <w:r>
        <w:rPr>
          <w:rFonts w:ascii="Times New Roman" w:hAnsi="Times New Roman" w:eastAsia="Times New Roman"/>
          <w:color w:val="000000"/>
        </w:rPr>
        <w:t>Tägliche Readiness-Karte mit persönlicher ACWR und Hooper-Score</w:t>
      </w:r>
    </w:p>
    <w:p>
      <w:pPr>
        <w:pStyle w:val="ListBullet"/>
        <w:spacing w:after="40"/>
        <w:jc w:val="both"/>
      </w:pPr>
      <w:r>
        <w:rPr>
          <w:rFonts w:ascii="Times New Roman" w:hAnsi="Times New Roman" w:eastAsia="Times New Roman"/>
          <w:b/>
          <w:color w:val="000000"/>
        </w:rPr>
        <w:t xml:space="preserve">Check-in: </w:t>
      </w:r>
      <w:r>
        <w:rPr>
          <w:rFonts w:ascii="Times New Roman" w:hAnsi="Times New Roman" w:eastAsia="Times New Roman"/>
          <w:color w:val="000000"/>
        </w:rPr>
        <w:t>Wellness-Check-in über Schlaf, Muskelkater, Energie und Stimmung</w:t>
      </w:r>
    </w:p>
    <w:p>
      <w:pPr>
        <w:pStyle w:val="ListBullet"/>
        <w:spacing w:after="40"/>
        <w:jc w:val="both"/>
      </w:pPr>
      <w:r>
        <w:rPr>
          <w:rFonts w:ascii="Times New Roman" w:hAnsi="Times New Roman" w:eastAsia="Times New Roman"/>
          <w:b/>
          <w:color w:val="000000"/>
        </w:rPr>
        <w:t xml:space="preserve">Scan: </w:t>
      </w:r>
      <w:r>
        <w:rPr>
          <w:rFonts w:ascii="Times New Roman" w:hAnsi="Times New Roman" w:eastAsia="Times New Roman"/>
          <w:color w:val="000000"/>
        </w:rPr>
        <w:t>QR-Equipment-Checkout mit geführter Geräteanlage</w:t>
      </w:r>
    </w:p>
    <w:p>
      <w:pPr>
        <w:pStyle w:val="ListBullet"/>
        <w:spacing w:after="40"/>
        <w:jc w:val="both"/>
      </w:pPr>
      <w:r>
        <w:rPr>
          <w:rFonts w:ascii="Times New Roman" w:hAnsi="Times New Roman" w:eastAsia="Times New Roman"/>
          <w:b/>
          <w:color w:val="000000"/>
        </w:rPr>
        <w:t xml:space="preserve">Stats: </w:t>
      </w:r>
      <w:r>
        <w:rPr>
          <w:rFonts w:ascii="Times New Roman" w:hAnsi="Times New Roman" w:eastAsia="Times New Roman"/>
          <w:color w:val="000000"/>
        </w:rPr>
        <w:t>Persönliche Statistiken: Distanz, Sprints, Höchstgeschwindigkeit, HRV-Trend</w:t>
      </w:r>
    </w:p>
    <w:p>
      <w:pPr>
        <w:pStyle w:val="ListBullet"/>
        <w:spacing w:after="40"/>
        <w:jc w:val="both"/>
      </w:pPr>
      <w:r>
        <w:rPr>
          <w:rFonts w:ascii="Times New Roman" w:hAnsi="Times New Roman" w:eastAsia="Times New Roman"/>
          <w:b/>
          <w:color w:val="000000"/>
        </w:rPr>
        <w:t xml:space="preserve">Zyklus (optional): </w:t>
      </w:r>
      <w:r>
        <w:rPr>
          <w:rFonts w:ascii="Times New Roman" w:hAnsi="Times New Roman" w:eastAsia="Times New Roman"/>
          <w:color w:val="000000"/>
        </w:rPr>
        <w:t>Freiwillige Zyklusangabe – ausschließlich durch die Spielerin selbst</w:t>
      </w:r>
    </w:p>
    <w:p>
      <w:pPr>
        <w:pStyle w:val="Heading3"/>
      </w:pPr>
      <w:r>
        <w:rPr>
          <w:rFonts w:ascii="Times New Roman" w:hAnsi="Times New Roman" w:eastAsia="Times New Roman"/>
          <w:color w:val="000000"/>
        </w:rPr>
        <w:t>3.3.3  Female-informed Decision Layer</w:t>
      </w:r>
    </w:p>
    <w:p>
      <w:pPr>
        <w:spacing w:after="120"/>
        <w:jc w:val="both"/>
      </w:pPr>
      <w:r>
        <w:rPr>
          <w:rFonts w:ascii="Times New Roman" w:hAnsi="Times New Roman" w:eastAsia="Times New Roman"/>
          <w:color w:val="000000"/>
        </w:rPr>
        <w:t>Der Decision Layer ist das eigentliche Alleinstellungsmerkmal der Software. Die Analyse-Engine verarbeitet äußere Last, innere Last und subjektives Befinden zu einer priorisierten, individuellen Empfehlung:</w:t>
      </w:r>
    </w:p>
    <w:p>
      <w:pPr>
        <w:pStyle w:val="ListBullet"/>
        <w:spacing w:after="40"/>
        <w:jc w:val="both"/>
      </w:pPr>
      <w:r>
        <w:rPr>
          <w:rFonts w:ascii="Times New Roman" w:hAnsi="Times New Roman" w:eastAsia="Times New Roman"/>
          <w:b/>
          <w:color w:val="000000"/>
        </w:rPr>
        <w:t xml:space="preserve">ACWR-Berechnung: </w:t>
      </w:r>
      <w:r>
        <w:rPr>
          <w:rFonts w:ascii="Times New Roman" w:hAnsi="Times New Roman" w:eastAsia="Times New Roman"/>
          <w:color w:val="000000"/>
        </w:rPr>
        <w:t>Acute:Chronic Workload Ratio aus 7-Tage-Akut- und 28-Tage-Chroniklast; Schwellen: &gt; 1,3 erhöht (Gelb), &gt; 1,49 kritisch (Rot).</w:t>
      </w:r>
    </w:p>
    <w:p>
      <w:pPr>
        <w:pStyle w:val="ListBullet"/>
        <w:spacing w:after="40"/>
        <w:jc w:val="both"/>
      </w:pPr>
      <w:r>
        <w:rPr>
          <w:rFonts w:ascii="Times New Roman" w:hAnsi="Times New Roman" w:eastAsia="Times New Roman"/>
          <w:b/>
          <w:color w:val="000000"/>
        </w:rPr>
        <w:t xml:space="preserve">Individuelle Baseline: </w:t>
      </w:r>
      <w:r>
        <w:rPr>
          <w:rFonts w:ascii="Times New Roman" w:hAnsi="Times New Roman" w:eastAsia="Times New Roman"/>
          <w:color w:val="000000"/>
        </w:rPr>
        <w:t>Auswertung gegen eine individuelle, auf weibliche Physiologie kalibrierte Baseline jeder Spielerin – nicht gegen aus Männermessungen abgeleitete Referenzwerte.</w:t>
      </w:r>
    </w:p>
    <w:p>
      <w:pPr>
        <w:pStyle w:val="ListBullet"/>
        <w:spacing w:after="40"/>
        <w:jc w:val="both"/>
      </w:pPr>
      <w:r>
        <w:rPr>
          <w:rFonts w:ascii="Times New Roman" w:hAnsi="Times New Roman" w:eastAsia="Times New Roman"/>
          <w:b/>
          <w:color w:val="000000"/>
        </w:rPr>
        <w:t xml:space="preserve">Zykluskontext: </w:t>
      </w:r>
      <w:r>
        <w:rPr>
          <w:rFonts w:ascii="Times New Roman" w:hAnsi="Times New Roman" w:eastAsia="Times New Roman"/>
          <w:color w:val="000000"/>
        </w:rPr>
        <w:t>Die freiwillige Zyklusangabe fließt als ein Faktor unter mehreren in den Score ein und kontextualisiert insbesondere die HRV-Interpretation.</w:t>
      </w:r>
    </w:p>
    <w:p>
      <w:pPr>
        <w:pStyle w:val="ListBullet"/>
        <w:spacing w:after="40"/>
        <w:jc w:val="both"/>
      </w:pPr>
      <w:r>
        <w:rPr>
          <w:rFonts w:ascii="Times New Roman" w:hAnsi="Times New Roman" w:eastAsia="Times New Roman"/>
          <w:b/>
          <w:color w:val="000000"/>
        </w:rPr>
        <w:t xml:space="preserve">Klartext-Empfehlung: </w:t>
      </w:r>
      <w:r>
        <w:rPr>
          <w:rFonts w:ascii="Times New Roman" w:hAnsi="Times New Roman" w:eastAsia="Times New Roman"/>
          <w:color w:val="000000"/>
        </w:rPr>
        <w:t>Verständliche Ampel mit Begründungstext und konkreter Handlungsempfehlung je Spielerin und fürs Gesamtteam.</w:t>
      </w:r>
    </w:p>
    <w:tbl>
      <w:tblPr>
        <w:tblW w:type="auto" w:w="0"/>
        <w:jc w:val="center"/>
        <w:tblLook w:firstColumn="1" w:firstRow="1" w:lastColumn="0" w:lastRow="0" w:noHBand="0" w:noVBand="1" w:val="04A0"/>
      </w:tblPr>
      <w:tblGrid>
        <w:gridCol w:w="9406"/>
      </w:tblGrid>
      <w:tr>
        <w:tc>
          <w:tcPr>
            <w:tcW w:type="dxa" w:w="9406"/>
            <w:tcBorders>
              <w:top w:val="single" w:sz="4" w:space="0" w:color="000000"/>
              <w:left w:val="single" w:sz="4" w:space="0" w:color="000000"/>
              <w:bottom w:val="single" w:sz="4" w:space="0" w:color="000000"/>
              <w:right w:val="single" w:sz="4" w:space="0" w:color="000000"/>
            </w:tcBorders>
          </w:tcPr>
          <w:p>
            <w:pPr>
              <w:spacing w:after="60"/>
            </w:pPr>
            <w:r>
              <w:rPr>
                <w:rFonts w:ascii="Times New Roman" w:hAnsi="Times New Roman" w:eastAsia="Times New Roman"/>
                <w:b/>
                <w:color w:val="000000"/>
              </w:rPr>
              <w:t>Kundennutzen der Software</w:t>
            </w:r>
          </w:p>
          <w:p>
            <w:pPr>
              <w:jc w:val="both"/>
            </w:pPr>
            <w:r>
              <w:rPr>
                <w:rFonts w:ascii="Times New Roman" w:hAnsi="Times New Roman" w:eastAsia="Times New Roman"/>
                <w:color w:val="000000"/>
              </w:rPr>
              <w:t>Aus Zahlen werden Entscheidungen: Die Plattform sagt nicht nur, dass eine Spielerin gefährdet ist, sondern auch, was zu tun ist – z. B. „Intensität um 20 % reduzieren, Fokus Taktik + Regeneration“. Das ersetzt die Interpretationsleistung, die im Profibereich teures Fachpersonal erbringt.</w:t>
            </w:r>
          </w:p>
        </w:tc>
      </w:tr>
    </w:tbl>
    <w:p>
      <w:pPr>
        <w:spacing w:after="80"/>
      </w:pPr>
    </w:p>
    <w:p>
      <w:pPr>
        <w:pStyle w:val="Heading2"/>
      </w:pPr>
      <w:r>
        <w:rPr>
          <w:rFonts w:ascii="Times New Roman" w:hAnsi="Times New Roman" w:eastAsia="Times New Roman"/>
          <w:color w:val="000000"/>
        </w:rPr>
        <w:t>3.4  Datenschutz-Architektur: keine Zyklus-App, sondern ein Belastungs-Tool mit Zykluskontext</w:t>
      </w:r>
    </w:p>
    <w:p>
      <w:pPr>
        <w:spacing w:after="120"/>
        <w:jc w:val="both"/>
      </w:pPr>
      <w:r>
        <w:rPr>
          <w:rFonts w:ascii="Times New Roman" w:hAnsi="Times New Roman" w:eastAsia="Times New Roman"/>
          <w:color w:val="000000"/>
        </w:rPr>
        <w:t>Da BetterSquad besondere Kategorien personenbezogener Daten im Sinne des Art. 9 DSGVO (Gesundheitsdaten) verarbeitet, ist Datenschutz integraler Produktbestandteil und zugleich vertrieblicher Wettbewerbsvorteil. Die gesamte Verarbeitung erfolgt DSGVO-konform mit Serverstandort in Deutschland, verschlüsselter Übertragung und rollenbasiert getrennten Zugriffen.</w:t>
      </w:r>
    </w:p>
    <w:p>
      <w:pPr>
        <w:spacing w:after="120"/>
        <w:jc w:val="both"/>
      </w:pPr>
      <w:r>
        <w:rPr>
          <w:rFonts w:ascii="Times New Roman" w:hAnsi="Times New Roman" w:eastAsia="Times New Roman"/>
          <w:color w:val="000000"/>
        </w:rPr>
        <w:t>Entscheidend ist die bewusst gegenläufige Architektur gegenüber zyklusbasierten Software-Plattformen, die Trainer:innen bei Einwilligung weitreichende Einsicht in Zyklusphase und Symptomhistorie gewähren. Bei BetterSquad ist die freiwillige Zyklusangabe ausschließlich ein interner Score-Faktor der Spielerin und zu keinem Zeitpunkt für Trainer:innen sichtbar – diese sehen nur Ampel und Begründungstext. BetterSquad ist damit ausdrücklich keine Zyklus-App, sondern ein Belastungs-Tool mit Zykluskontext.</w:t>
      </w:r>
    </w:p>
    <w:p>
      <w:pPr>
        <w:pStyle w:val="ListBullet"/>
        <w:spacing w:after="40"/>
        <w:jc w:val="both"/>
      </w:pPr>
      <w:r>
        <w:rPr>
          <w:rFonts w:ascii="Times New Roman" w:hAnsi="Times New Roman" w:eastAsia="Times New Roman"/>
          <w:b/>
          <w:color w:val="000000"/>
        </w:rPr>
        <w:t xml:space="preserve">Privacy by Design: </w:t>
      </w:r>
      <w:r>
        <w:rPr>
          <w:rFonts w:ascii="Times New Roman" w:hAnsi="Times New Roman" w:eastAsia="Times New Roman"/>
          <w:color w:val="000000"/>
        </w:rPr>
        <w:t>Zyklusangabe freiwillig, nur durch die Spielerin, niemals als Coach-Information</w:t>
      </w:r>
    </w:p>
    <w:p>
      <w:pPr>
        <w:pStyle w:val="ListBullet"/>
        <w:spacing w:after="40"/>
        <w:jc w:val="both"/>
      </w:pPr>
      <w:r>
        <w:rPr>
          <w:rFonts w:ascii="Times New Roman" w:hAnsi="Times New Roman" w:eastAsia="Times New Roman"/>
          <w:b/>
          <w:color w:val="000000"/>
        </w:rPr>
        <w:t xml:space="preserve">Akzeptanz: </w:t>
      </w:r>
      <w:r>
        <w:rPr>
          <w:rFonts w:ascii="Times New Roman" w:hAnsi="Times New Roman" w:eastAsia="Times New Roman"/>
          <w:color w:val="000000"/>
        </w:rPr>
        <w:t>Akzeptanz im überwiegend männlichen Trainerstab des Amateurfußballs</w:t>
      </w:r>
    </w:p>
    <w:p>
      <w:pPr>
        <w:pStyle w:val="ListBullet"/>
        <w:spacing w:after="40"/>
        <w:jc w:val="both"/>
      </w:pPr>
      <w:r>
        <w:rPr>
          <w:rFonts w:ascii="Times New Roman" w:hAnsi="Times New Roman" w:eastAsia="Times New Roman"/>
          <w:b/>
          <w:color w:val="000000"/>
        </w:rPr>
        <w:t xml:space="preserve">Compliance: </w:t>
      </w:r>
      <w:r>
        <w:rPr>
          <w:rFonts w:ascii="Times New Roman" w:hAnsi="Times New Roman" w:eastAsia="Times New Roman"/>
          <w:color w:val="000000"/>
        </w:rPr>
        <w:t>Serverstandort Deutschland, Art. 9 DSGVO, verschlüsselte Übertragung</w:t>
      </w:r>
    </w:p>
    <w:p>
      <w:pPr>
        <w:pStyle w:val="Heading2"/>
      </w:pPr>
      <w:r>
        <w:rPr>
          <w:rFonts w:ascii="Times New Roman" w:hAnsi="Times New Roman" w:eastAsia="Times New Roman"/>
          <w:color w:val="000000"/>
        </w:rPr>
        <w:t>3.5  Wissenschaftliche Fundierung</w:t>
      </w:r>
    </w:p>
    <w:p>
      <w:pPr>
        <w:spacing w:after="120"/>
        <w:jc w:val="both"/>
      </w:pPr>
      <w:r>
        <w:rPr>
          <w:rFonts w:ascii="Times New Roman" w:hAnsi="Times New Roman" w:eastAsia="Times New Roman"/>
          <w:color w:val="000000"/>
        </w:rPr>
        <w:t>Alle Kennzahlen des Systems beruhen auf etablierten sportwissenschaftlichen Methoden. Das grenzt BetterSquad von rein technikgetriebenen Tracking-Gadgets ab und schafft Glaubwürdigkeit gegenüber Vereinen und Verbänden:</w:t>
      </w:r>
    </w:p>
    <w:p>
      <w:pPr>
        <w:pStyle w:val="ListBullet"/>
        <w:spacing w:after="40"/>
        <w:jc w:val="both"/>
      </w:pPr>
      <w:r>
        <w:rPr>
          <w:rFonts w:ascii="Times New Roman" w:hAnsi="Times New Roman" w:eastAsia="Times New Roman"/>
          <w:b/>
          <w:color w:val="000000"/>
        </w:rPr>
        <w:t xml:space="preserve">Gabbett (2016): </w:t>
      </w:r>
      <w:r>
        <w:rPr>
          <w:rFonts w:ascii="Times New Roman" w:hAnsi="Times New Roman" w:eastAsia="Times New Roman"/>
          <w:color w:val="000000"/>
        </w:rPr>
        <w:t>ACWR-Belastungssteuerung als validiertes Modell zur Verletzungsprävention.</w:t>
      </w:r>
    </w:p>
    <w:p>
      <w:pPr>
        <w:pStyle w:val="ListBullet"/>
        <w:spacing w:after="40"/>
        <w:jc w:val="both"/>
      </w:pPr>
      <w:r>
        <w:rPr>
          <w:rFonts w:ascii="Times New Roman" w:hAnsi="Times New Roman" w:eastAsia="Times New Roman"/>
          <w:b/>
          <w:color w:val="000000"/>
        </w:rPr>
        <w:t xml:space="preserve">Saw et al. (2016): </w:t>
      </w:r>
      <w:r>
        <w:rPr>
          <w:rFonts w:ascii="Times New Roman" w:hAnsi="Times New Roman" w:eastAsia="Times New Roman"/>
          <w:color w:val="000000"/>
        </w:rPr>
        <w:t>Wellness-Check-in nach der bestätigten Aussagekraft subjektiver Selbstauskünfte (Hooper-Index).</w:t>
      </w:r>
    </w:p>
    <w:p>
      <w:pPr>
        <w:pStyle w:val="ListBullet"/>
        <w:spacing w:after="40"/>
        <w:jc w:val="both"/>
      </w:pPr>
      <w:r>
        <w:rPr>
          <w:rFonts w:ascii="Times New Roman" w:hAnsi="Times New Roman" w:eastAsia="Times New Roman"/>
          <w:b/>
          <w:color w:val="000000"/>
        </w:rPr>
        <w:t xml:space="preserve">Plews et al. (2013): </w:t>
      </w:r>
      <w:r>
        <w:rPr>
          <w:rFonts w:ascii="Times New Roman" w:hAnsi="Times New Roman" w:eastAsia="Times New Roman"/>
          <w:color w:val="000000"/>
        </w:rPr>
        <w:t>HRV als anerkannter Marker für Trainingsadaptation und Regeneration.</w:t>
      </w:r>
    </w:p>
    <w:p>
      <w:pPr>
        <w:pStyle w:val="ListBullet"/>
        <w:spacing w:after="40"/>
        <w:jc w:val="both"/>
      </w:pPr>
      <w:r>
        <w:rPr>
          <w:rFonts w:ascii="Times New Roman" w:hAnsi="Times New Roman" w:eastAsia="Times New Roman"/>
          <w:b/>
          <w:color w:val="000000"/>
        </w:rPr>
        <w:t xml:space="preserve">McNulty et al. (2020): </w:t>
      </w:r>
      <w:r>
        <w:rPr>
          <w:rFonts w:ascii="Times New Roman" w:hAnsi="Times New Roman" w:eastAsia="Times New Roman"/>
          <w:color w:val="000000"/>
        </w:rPr>
        <w:t>Geschlechtsspezifische Kalibrierung auf Basis der Evidenz zum Zykluseinfluss auf die Leistungsfähigkeit.</w:t>
      </w:r>
    </w:p>
    <w:p>
      <w:pPr>
        <w:pStyle w:val="Heading2"/>
      </w:pPr>
      <w:r>
        <w:rPr>
          <w:rFonts w:ascii="Times New Roman" w:hAnsi="Times New Roman" w:eastAsia="Times New Roman"/>
          <w:color w:val="000000"/>
        </w:rPr>
        <w:t>3.6  Kundennutzen &amp; Alleinstellung</w:t>
      </w:r>
    </w:p>
    <w:p>
      <w:pPr>
        <w:spacing w:after="120"/>
        <w:jc w:val="both"/>
      </w:pPr>
      <w:r>
        <w:rPr>
          <w:rFonts w:ascii="Times New Roman" w:hAnsi="Times New Roman" w:eastAsia="Times New Roman"/>
          <w:color w:val="000000"/>
        </w:rPr>
        <w:t>Der Kundennutzen ergibt sich aus dem Zusammenspiel der Bausteine:</w:t>
      </w:r>
    </w:p>
    <w:p>
      <w:pPr>
        <w:pStyle w:val="ListBullet"/>
        <w:spacing w:after="40"/>
        <w:jc w:val="both"/>
      </w:pPr>
      <w:r>
        <w:rPr>
          <w:rFonts w:ascii="Times New Roman" w:hAnsi="Times New Roman" w:eastAsia="Times New Roman"/>
          <w:b/>
          <w:color w:val="000000"/>
        </w:rPr>
        <w:t xml:space="preserve">Integration: </w:t>
      </w:r>
      <w:r>
        <w:rPr>
          <w:rFonts w:ascii="Times New Roman" w:hAnsi="Times New Roman" w:eastAsia="Times New Roman"/>
          <w:color w:val="000000"/>
        </w:rPr>
        <w:t>Äußere und innere Last sowie subjektives Befinden in einer Plattform statt getrennter Insellösungen.</w:t>
      </w:r>
    </w:p>
    <w:p>
      <w:pPr>
        <w:pStyle w:val="ListBullet"/>
        <w:spacing w:after="40"/>
        <w:jc w:val="both"/>
      </w:pPr>
      <w:r>
        <w:rPr>
          <w:rFonts w:ascii="Times New Roman" w:hAnsi="Times New Roman" w:eastAsia="Times New Roman"/>
          <w:b/>
          <w:color w:val="000000"/>
        </w:rPr>
        <w:t xml:space="preserve">Pool-Modell: </w:t>
      </w:r>
      <w:r>
        <w:rPr>
          <w:rFonts w:ascii="Times New Roman" w:hAnsi="Times New Roman" w:eastAsia="Times New Roman"/>
          <w:color w:val="000000"/>
        </w:rPr>
        <w:t>Eine Vereinslizenz und ein geteilter Gerätepool für die gesamte Frauenabteilung statt Pro-Gerät-Logik.</w:t>
      </w:r>
    </w:p>
    <w:p>
      <w:pPr>
        <w:pStyle w:val="ListBullet"/>
        <w:spacing w:after="40"/>
        <w:jc w:val="both"/>
      </w:pPr>
      <w:r>
        <w:rPr>
          <w:rFonts w:ascii="Times New Roman" w:hAnsi="Times New Roman" w:eastAsia="Times New Roman"/>
          <w:b/>
          <w:color w:val="000000"/>
        </w:rPr>
        <w:t xml:space="preserve">Female-informed: </w:t>
      </w:r>
      <w:r>
        <w:rPr>
          <w:rFonts w:ascii="Times New Roman" w:hAnsi="Times New Roman" w:eastAsia="Times New Roman"/>
          <w:color w:val="000000"/>
        </w:rPr>
        <w:t>Individuelle, auf weibliche Physiologie kalibrierte Baselines mit Zyklusangabe als Score-Faktor.</w:t>
      </w:r>
    </w:p>
    <w:p>
      <w:pPr>
        <w:pStyle w:val="ListBullet"/>
        <w:spacing w:after="40"/>
        <w:jc w:val="both"/>
      </w:pPr>
      <w:r>
        <w:rPr>
          <w:rFonts w:ascii="Times New Roman" w:hAnsi="Times New Roman" w:eastAsia="Times New Roman"/>
          <w:b/>
          <w:color w:val="000000"/>
        </w:rPr>
        <w:t xml:space="preserve">Einfachheit: </w:t>
      </w:r>
      <w:r>
        <w:rPr>
          <w:rFonts w:ascii="Times New Roman" w:hAnsi="Times New Roman" w:eastAsia="Times New Roman"/>
          <w:color w:val="000000"/>
        </w:rPr>
        <w:t>Ampel-Logik und Klartext-Empfehlungen – bedienbar ohne Sportwissenschaftler:in vor Ort.</w:t>
      </w:r>
    </w:p>
    <w:p>
      <w:pPr>
        <w:pStyle w:val="ListBullet"/>
        <w:spacing w:after="40"/>
        <w:jc w:val="both"/>
      </w:pPr>
      <w:r>
        <w:rPr>
          <w:rFonts w:ascii="Times New Roman" w:hAnsi="Times New Roman" w:eastAsia="Times New Roman"/>
          <w:b/>
          <w:color w:val="000000"/>
        </w:rPr>
        <w:t xml:space="preserve">Datenschutz: </w:t>
      </w:r>
      <w:r>
        <w:rPr>
          <w:rFonts w:ascii="Times New Roman" w:hAnsi="Times New Roman" w:eastAsia="Times New Roman"/>
          <w:color w:val="000000"/>
        </w:rPr>
        <w:t>DSGVO-konform, Serverstandort Deutschland, Zyklusdaten konsequent vor dem Trainerstab verborgen.</w:t>
      </w:r>
    </w:p>
    <w:p>
      <w:pPr>
        <w:pStyle w:val="ListBullet"/>
        <w:spacing w:after="40"/>
        <w:jc w:val="both"/>
      </w:pPr>
      <w:r>
        <w:rPr>
          <w:rFonts w:ascii="Times New Roman" w:hAnsi="Times New Roman" w:eastAsia="Times New Roman"/>
          <w:b/>
          <w:color w:val="000000"/>
        </w:rPr>
        <w:t xml:space="preserve">Wertschöpfungstiefe: </w:t>
      </w:r>
      <w:r>
        <w:rPr>
          <w:rFonts w:ascii="Times New Roman" w:hAnsi="Times New Roman" w:eastAsia="Times New Roman"/>
          <w:color w:val="000000"/>
        </w:rPr>
        <w:t>Perspektivische Eigenfertigung des Sensors als Hebel für Marge, Differenzierung und Schutzrechte.</w:t>
      </w:r>
    </w:p>
    <w:p>
      <w:pPr>
        <w:pStyle w:val="Heading2"/>
      </w:pPr>
      <w:r>
        <w:rPr>
          <w:rFonts w:ascii="Times New Roman" w:hAnsi="Times New Roman" w:eastAsia="Times New Roman"/>
          <w:color w:val="000000"/>
        </w:rPr>
        <w:t>3.7  Entwicklungsstand &amp; Roadmap</w:t>
      </w:r>
    </w:p>
    <w:p>
      <w:pPr>
        <w:spacing w:after="120"/>
        <w:jc w:val="both"/>
      </w:pPr>
      <w:r>
        <w:rPr>
          <w:rFonts w:ascii="Times New Roman" w:hAnsi="Times New Roman" w:eastAsia="Times New Roman"/>
          <w:color w:val="000000"/>
        </w:rPr>
        <w:t>Der funktionsfähige Frontend-Prototyp aus Trainer:innen-Dashboard und Spieler:innen-App bildet den vollständigen Nutzungsablauf bereits ab und dient als Grundlage für Pilotvereine und Pitch.</w:t>
      </w:r>
    </w:p>
    <w:p>
      <w:pPr>
        <w:pStyle w:val="ListBullet"/>
        <w:spacing w:after="40"/>
        <w:jc w:val="both"/>
      </w:pPr>
      <w:r>
        <w:rPr>
          <w:rFonts w:ascii="Times New Roman" w:hAnsi="Times New Roman" w:eastAsia="Times New Roman"/>
          <w:b/>
          <w:color w:val="000000"/>
        </w:rPr>
        <w:t xml:space="preserve">Status quo: </w:t>
      </w:r>
      <w:r>
        <w:rPr>
          <w:rFonts w:ascii="Times New Roman" w:hAnsi="Times New Roman" w:eastAsia="Times New Roman"/>
          <w:color w:val="000000"/>
        </w:rPr>
        <w:t>Validierter, klickbarer Prototyp des End-to-End-Nutzungsflusses.</w:t>
      </w:r>
    </w:p>
    <w:p>
      <w:pPr>
        <w:pStyle w:val="ListBullet"/>
        <w:spacing w:after="40"/>
        <w:jc w:val="both"/>
      </w:pPr>
      <w:r>
        <w:rPr>
          <w:rFonts w:ascii="Times New Roman" w:hAnsi="Times New Roman" w:eastAsia="Times New Roman"/>
          <w:b/>
          <w:color w:val="000000"/>
        </w:rPr>
        <w:t xml:space="preserve">Phase 1: </w:t>
      </w:r>
      <w:r>
        <w:rPr>
          <w:rFonts w:ascii="Times New Roman" w:hAnsi="Times New Roman" w:eastAsia="Times New Roman"/>
          <w:color w:val="000000"/>
        </w:rPr>
        <w:t>Hardware-Anbindung (Live-Daten GPS + Magene H603), Cloud-Backend, Pilot in 1–2 Frauenabteilungen.</w:t>
      </w:r>
    </w:p>
    <w:p>
      <w:pPr>
        <w:pStyle w:val="ListBullet"/>
        <w:spacing w:after="40"/>
        <w:jc w:val="both"/>
      </w:pPr>
      <w:r>
        <w:rPr>
          <w:rFonts w:ascii="Times New Roman" w:hAnsi="Times New Roman" w:eastAsia="Times New Roman"/>
          <w:b/>
          <w:color w:val="000000"/>
        </w:rPr>
        <w:t xml:space="preserve">Phase 2: </w:t>
      </w:r>
      <w:r>
        <w:rPr>
          <w:rFonts w:ascii="Times New Roman" w:hAnsi="Times New Roman" w:eastAsia="Times New Roman"/>
          <w:color w:val="000000"/>
        </w:rPr>
        <w:t>Schärfung des Decision Layers auf realen Saisondaten, Reporting-Export, Verbandsschnittstellen; Start der Make-or-Buy-Bewertung und Referenzdesign für den eigenen Sensor.</w:t>
      </w:r>
    </w:p>
    <w:p>
      <w:pPr>
        <w:pStyle w:val="ListBullet"/>
        <w:spacing w:after="40"/>
        <w:jc w:val="both"/>
      </w:pPr>
      <w:r>
        <w:rPr>
          <w:rFonts w:ascii="Times New Roman" w:hAnsi="Times New Roman" w:eastAsia="Times New Roman"/>
          <w:b/>
          <w:color w:val="000000"/>
        </w:rPr>
        <w:t xml:space="preserve">Phase 3: </w:t>
      </w:r>
      <w:r>
        <w:rPr>
          <w:rFonts w:ascii="Times New Roman" w:hAnsi="Times New Roman" w:eastAsia="Times New Roman"/>
          <w:color w:val="000000"/>
        </w:rPr>
        <w:t>Skalierung über die DACH-Landesverbände auf rund 85 Vereine bis Jahr 3; Überführung des Herzfrequenz-Sensors in die Eigenfertigung (Referenzdesign, EMS-Partner, Zertifizierung).</w:t>
      </w:r>
    </w:p>
    <w:p>
      <w:pPr>
        <w:pStyle w:val="Heading2"/>
      </w:pPr>
      <w:r>
        <w:rPr>
          <w:rFonts w:ascii="Times New Roman" w:hAnsi="Times New Roman" w:eastAsia="Times New Roman"/>
          <w:color w:val="000000"/>
        </w:rPr>
        <w:t>3.8  Literaturverzeichnis</w:t>
      </w:r>
    </w:p>
    <w:p>
      <w:pPr>
        <w:spacing w:after="120"/>
        <w:ind w:left="425" w:hanging="425"/>
        <w:jc w:val="both"/>
      </w:pPr>
      <w:r>
        <w:rPr>
          <w:rFonts w:ascii="Times New Roman" w:hAnsi="Times New Roman" w:eastAsia="Times New Roman"/>
          <w:color w:val="000000"/>
        </w:rPr>
        <w:t>Gabbett, T. J. (2016). The training—injury prevention paradox: Should athletes be training smarter and harder? British Journal of Sports Medicine, 50(5), 273–280. https://doi.org/10.1136/bjsports-2015-095788</w:t>
      </w:r>
    </w:p>
    <w:p>
      <w:pPr>
        <w:spacing w:after="120"/>
        <w:ind w:left="425" w:hanging="425"/>
        <w:jc w:val="both"/>
      </w:pPr>
      <w:r>
        <w:rPr>
          <w:rFonts w:ascii="Times New Roman" w:hAnsi="Times New Roman" w:eastAsia="Times New Roman"/>
          <w:color w:val="000000"/>
        </w:rPr>
        <w:t>Magene. (n.d.). H603 Heart Rate Monitor [Product page]. Magene. https://www.magene.com/en/all-products/54-h603-heart-rate-monitor.html</w:t>
      </w:r>
    </w:p>
    <w:p>
      <w:pPr>
        <w:spacing w:after="120"/>
        <w:ind w:left="425" w:hanging="425"/>
        <w:jc w:val="both"/>
      </w:pPr>
      <w:r>
        <w:rPr>
          <w:rFonts w:ascii="Times New Roman" w:hAnsi="Times New Roman" w:eastAsia="Times New Roman"/>
          <w:color w:val="000000"/>
        </w:rPr>
        <w:t>McNulty, K. L., Elliott-Sale, K. J., Dolan, E., Swinton, P. A., Ansdell, P., Goodall, S., Thomas, K., &amp; Hicks, K. M. (2020). The effects of menstrual cycle phase on exercise performance in eumenorrheic women: A systematic review and meta-analysis. Sports Medicine, 50(10), 1813–1827. https://doi.org/10.1007/s40279-020-01319-3</w:t>
      </w:r>
    </w:p>
    <w:p>
      <w:pPr>
        <w:spacing w:after="120"/>
        <w:ind w:left="425" w:hanging="425"/>
        <w:jc w:val="both"/>
      </w:pPr>
      <w:r>
        <w:rPr>
          <w:rFonts w:ascii="Times New Roman" w:hAnsi="Times New Roman" w:eastAsia="Times New Roman"/>
          <w:color w:val="000000"/>
        </w:rPr>
        <w:t>Plews, D. J., Laursen, P. B., Stanley, J., Kilding, A. E., &amp; Buchheit, M. (2013). Training adaptation and heart rate variability in elite endurance athletes: Opening the door to effective monitoring. Sports Medicine, 43(9), 773–781. https://doi.org/10.1007/s40279-013-0071-8</w:t>
      </w:r>
    </w:p>
    <w:p>
      <w:pPr>
        <w:spacing w:after="120"/>
        <w:ind w:left="425" w:hanging="425"/>
        <w:jc w:val="both"/>
      </w:pPr>
      <w:r>
        <w:rPr>
          <w:rFonts w:ascii="Times New Roman" w:hAnsi="Times New Roman" w:eastAsia="Times New Roman"/>
          <w:color w:val="000000"/>
        </w:rPr>
        <w:t>Saw, A. E., Main, L. C., &amp; Gastin, P. B. (2016). Monitoring the athlete training response: Subjective self-reported measures trump commonly used objective measures – A systematic review. British Journal of Sports Medicine, 50(5), 281–291. https://doi.org/10.1136/bjsports-2015-094758</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t>BetterSquad · Businessplan Teil 3: Produkt / Dienstleistung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