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Produkt / Dienstleistung</w:t>
      </w:r>
    </w:p>
    <w:p>
      <w:pPr>
        <w:keepNext/>
        <w:spacing w:before="200" w:after="80"/>
        <w:jc w:val="both"/>
      </w:pPr>
      <w:r>
        <w:rPr>
          <w:b/>
        </w:rPr>
        <w:t>Produktüberblick und Wertversprechen</w:t>
      </w:r>
    </w:p>
    <w:p>
      <w:pPr>
        <w:jc w:val="both"/>
      </w:pPr>
      <w:r>
        <w:t>BetterSquad ist ein integriertes Belastungssteuerungs-System für den Amateur- und Semi-Pro-Frauenfußball im DACH-Raum. Das Produkt verbindet vereinseigene Sensor-Hardware im Pool-Modell mit einer Software-Plattform, die rohe Mess- und Befindlichkeitsdaten nicht als Performance-Dashboard ausgibt, sondern zu einer konkreten, individuell auf die Spielerin kalibrierten Trainingsempfehlung verdichtet. Der inhaltliche Kern ist damit kein Tracking-Gadget, sondern ein female-informed Decision Layer: eine Entscheidungsschicht, die die äußere Belastung (GPS), die innere Belastung (Herzfrequenz und HRV) und das subjektive Befinden (Hooper-Index) auf Basis individueller Baselines jeder Spielerin auswertet.</w:t>
      </w:r>
    </w:p>
    <w:p>
      <w:pPr>
        <w:jc w:val="both"/>
      </w:pPr>
      <w:r>
        <w:t>Das Leistungsangebot adressiert eine strukturelle Lücke: Etablierte Hardware-Anbieter richten sich mit Pro-Spieler:in-Preislogik und überwiegend aus Männermessungen abgeleiteten Referenzwerten an Elite- und Profistrukturen, während female-spezifische Software-Plattformen zwar die Frauenphysiologie adressieren, aber weder Vereins-Hardware noch eine objektive, belastungsbasierte Steuerung bieten. BetterSquad besetzt genau die Schnittstelle beider Welten – zu einem Preis, der für eine Regionalliga- oder Oberliga-Frauenabteilung tragbar ist (ab 219 € pro Monat statt vier- bis fünfstelliger Jahresaufwände bei Pro-Gerät-Modellen).</w:t>
      </w:r>
    </w:p>
    <w:p>
      <w:pPr>
        <w:jc w:val="both"/>
      </w:pPr>
      <w:r>
        <w:rPr>
          <w:b w:val="0"/>
        </w:rPr>
        <w:t xml:space="preserve">Das Produkt besteht aus drei aufeinander abgestimmten Bausteinen: </w:t>
      </w:r>
      <w:r>
        <w:rPr>
          <w:b/>
        </w:rPr>
        <w:t xml:space="preserve">(1) einer vereinseigenen Hardware </w:t>
      </w:r>
      <w:r>
        <w:rPr>
          <w:b w:val="0"/>
        </w:rPr>
        <w:t xml:space="preserve">im geteilten Sensor-Pool, </w:t>
      </w:r>
      <w:r>
        <w:rPr>
          <w:b/>
        </w:rPr>
        <w:t xml:space="preserve">(2) einer Software-Plattform </w:t>
      </w:r>
      <w:r>
        <w:rPr>
          <w:b w:val="0"/>
        </w:rPr>
        <w:t xml:space="preserve">aus Trainer:innen-Dashboard und Spieler:innen-App sowie </w:t>
      </w:r>
      <w:r>
        <w:rPr>
          <w:b/>
        </w:rPr>
        <w:t xml:space="preserve">(3) einem female-informed Decision Layer </w:t>
      </w:r>
      <w:r>
        <w:rPr>
          <w:b w:val="0"/>
        </w:rPr>
        <w:t>mit datenschutzfreundlicher Architektur. Die folgenden Abschnitte beschreiben Hardware und Software entlang dieser Bausteine.</w:t>
      </w:r>
    </w:p>
    <w:p>
      <w:pPr>
        <w:keepNext/>
        <w:spacing w:before="280" w:after="80"/>
        <w:jc w:val="both"/>
      </w:pPr>
      <w:r>
        <w:rPr>
          <w:b/>
        </w:rPr>
        <w:t>Hardware: vereinseigener Sensor-Pool</w:t>
      </w:r>
    </w:p>
    <w:p>
      <w:pPr>
        <w:jc w:val="both"/>
      </w:pPr>
      <w:r>
        <w:t>Die Hardware bildet die objektive Datengrundlage des Systems. Bewusst setzt BetterSquad auf erprobte, kalibrierte Standardkomponenten statt auf teure Eigenentwicklungen. Das senkt Stückkosten und Ausfallrisiko, verkürzt die Time-to-Market und sichert eine validierte Messqualität. Die Geräte werden nicht – wie im Pro-Spieler:in-Modell der etablierten Anbieter – einzeln pro Athletin beschafft, sondern der Frauenabteilung als geteilter Pool zur Verfügung gestellt. Eine typische Abteilung mit drei bis fünf Teams und 60 bis 80 Spielerinnen wird so mit einem überschaubaren Gerätebestand abgedeckt.</w:t>
      </w:r>
    </w:p>
    <w:p>
      <w:pPr>
        <w:keepNext/>
        <w:spacing w:before="160" w:after="80"/>
        <w:jc w:val="both"/>
      </w:pPr>
      <w:r>
        <w:rPr>
          <w:b/>
        </w:rPr>
        <w:t>GPS-Tracker (äußere Belastung)</w:t>
      </w:r>
    </w:p>
    <w:p>
      <w:pPr>
        <w:jc w:val="both"/>
      </w:pPr>
      <w:r>
        <w:t>Der GPS-Tracker wird in einer leichten Trageweste zwischen den Schulterblättern getragen und erfasst die äußere Belastung in Echtzeit: zurückgelegte Distanz und Distanz in Hochintensitäts-Zonen, Anzahl der Sprints, Höchstgeschwindigkeit sowie Beschleunigungs- und Abbrems-Lasten. Aus diesen Rohdaten wird die externe Tageslast (Load) berechnet, die als Grundgröße in das ACWR-Modell einfließt.</w:t>
      </w:r>
    </w:p>
    <w:p>
      <w:pPr>
        <w:keepNext/>
        <w:spacing w:before="160" w:after="80"/>
        <w:jc w:val="both"/>
      </w:pPr>
      <w:r>
        <w:rPr>
          <w:b/>
        </w:rPr>
        <w:t>Polar-H10-Pulsgurte (innere Belastung und Recovery)</w:t>
      </w:r>
    </w:p>
    <w:p>
      <w:pPr>
        <w:jc w:val="both"/>
      </w:pPr>
      <w:r>
        <w:t>Der medizinisch validierte Brustgurt Polar H10 misst die innere Belastung und liefert die Datenbasis für das Recovery-Monitoring: die Herzfrequenz in Echtzeit zur Steuerung der Trainingsintensität sowie die Herzfrequenzvariabilität (HRV) als sensiblen Frühindikator der Regeneration. Über eine Trendanalyse lassen sich Überlastungstendenzen mehrere Tage früher erkennen, als sie sich in der reinen Leistung zeigen. Als etablierter Industriestandard mit hoher EKG-Genauigkeit reduziert der Polar H10 zugleich den Beschaffungs- und Wartungsaufwand.</w:t>
      </w:r>
    </w:p>
    <w:p>
      <w:pPr>
        <w:keepNext/>
        <w:spacing w:before="160" w:after="80"/>
        <w:jc w:val="both"/>
      </w:pPr>
      <w:r>
        <w:rPr>
          <w:b/>
        </w:rPr>
        <w:t>Tracker-Dock und QR-Checkout</w:t>
      </w:r>
    </w:p>
    <w:p>
      <w:pPr>
        <w:jc w:val="both"/>
      </w:pPr>
      <w:r>
        <w:t>Die Geräte lagern und laden in einem zentralen Tracker-Dock. Vor dem Training scannt jede Spielerin über die App einen QR-Code am Dock und erhält automatisch einen freien Tracker und Pulsgurt zugewiesen. Das löst zwei zentrale Probleme des Amateurbetriebs: Es macht eine feste 1:1-Zuordnung überflüssig (Voraussetzung des Pool-Modells) und stellt die korrekte, verwechslungsfreie Datenzuordnung sicher, ohne dass Personal die Geräte manuell verteilen muss. Eine Live-Übersicht zeigt jederzeit, welche Geräte verfügbar, ausgegeben oder in Wartung sind.</w:t>
      </w:r>
    </w:p>
    <w:p>
      <w:pPr>
        <w:keepNext/>
        <w:spacing w:before="160" w:after="80"/>
        <w:jc w:val="both"/>
      </w:pPr>
      <w:r>
        <w:rPr>
          <w:b/>
        </w:rPr>
        <w:t>Pool-Modell und Pakete</w:t>
      </w:r>
    </w:p>
    <w:p>
      <w:pPr>
        <w:jc w:val="both"/>
      </w:pPr>
      <w:r>
        <w:t>Eine Vereinslizenz deckt die gesamte Frauenabteilung ab; der Hardware-Umfang skaliert mit dem gewählten Paket. Das Einstiegspaket Starter umfasst 15 GPS-Tracker und 15 Polar-H10-Gurte für bis zu zwei Teams (219 € pro Monat), das Paket Pro 25 Geräte-Sets für bis zu vier Teams (349 € pro Monat) und das Paket Elite 35 Geräte-Sets für eine unbegrenzte Zahl an Teams (459 € pro Monat). Hinzu kommen Trageschutzwesten, Ersatzbänder und das Lade- und Checkout-Dock. Die Hardware wird über eine einmalige Anzahlung (2.200 bis 4.200 €) und die laufende Lizenz finanziert; sie verbleibt im Nutzungsrecht der Abteilung. Diese geteilte Nutzung ist nicht nur ein Preisvorteil, sondern erzeugt zugleich Wechselkosten: Konfiguration und individuelle Baselines der Spielerinnen entstehen über Monate und gingen bei einem Anbieterwechsel verloren.</w:t>
      </w:r>
    </w:p>
    <w:p>
      <w:pPr>
        <w:keepNext/>
        <w:spacing w:before="280" w:after="80"/>
        <w:jc w:val="both"/>
      </w:pPr>
      <w:r>
        <w:rPr>
          <w:b/>
        </w:rPr>
        <w:t>Software: Decision Layer statt Rohdaten-Dashboard</w:t>
      </w:r>
    </w:p>
    <w:p>
      <w:pPr>
        <w:jc w:val="both"/>
      </w:pPr>
      <w:r>
        <w:t>Die Software ist das Wertschöpfungszentrum und der zentrale Differenzierungsfaktor. Während der direkte Wettbewerb vor allem Rohdaten- und Performance-Dashboards für sportwissenschaftliche Stäbe liefert, übersetzt BetterSquad die Daten in handlungsleitende Empfehlungen, die auch ohne Sportwissenschaftler:in vor Ort verständlich sind. Als Software-as-a-Service ist die Plattform für den Verein wartungsfrei und wird kontinuierlich weiterentwickelt. Sie besteht aus dem Trainer:innen-Dashboard, der Spieler:innen-App und der dahinterliegenden Analyse-Engine mit dem female-informed Decision Layer.</w:t>
      </w:r>
    </w:p>
    <w:p>
      <w:pPr>
        <w:keepNext/>
        <w:spacing w:before="160" w:after="80"/>
        <w:jc w:val="both"/>
      </w:pPr>
      <w:r>
        <w:rPr>
          <w:b/>
        </w:rPr>
        <w:t>Trainer:innen-Dashboard und Session Planner</w:t>
      </w:r>
    </w:p>
    <w:p>
      <w:pPr>
        <w:jc w:val="both"/>
      </w:pPr>
      <w:r>
        <w:t>Das Web-Dashboard ist die Kommandozentrale für das Funktionsteam. Eine Squad-Ampel zeigt je Spielerin auf einen Blick den Status (Grün / Gelb / Rot), ergänzt um den Verlauf der durchschnittlichen und maximalen Team-ACWR über 21 Tage und Live-Kennzahlen zur Zahl fitter, gefährdeter und Risiko-Spielerinnen. Eine Detailansicht je Spielerin bündelt Last-, HRV- und Hooper-Historie; ein Equipment-Monitor zeigt den Pool-Status. Der integrierte Session Planner überführt die Analyse unmittelbar in die Trainingsplanung: Er stellt eine Kaderverfügbarkeits-Matrix mit ACWR, Hooper-Score, Status und empfohlener individueller Intensität (etwa „Pause“, „Leicht −20 %“ oder „Voll“) bereit und lässt sich als Sessionplan exportieren.</w:t>
      </w:r>
    </w:p>
    <w:p>
      <w:pPr>
        <w:keepNext/>
        <w:spacing w:before="160" w:after="80"/>
        <w:jc w:val="both"/>
      </w:pPr>
      <w:r>
        <w:rPr>
          <w:b/>
        </w:rPr>
        <w:t>Spieler:innen-App</w:t>
      </w:r>
    </w:p>
    <w:p>
      <w:pPr>
        <w:jc w:val="both"/>
      </w:pPr>
      <w:r>
        <w:t>Die mobile App bindet die Athletin aktiv in den Steuerungskreislauf ein. Sie zeigt eine tägliche Readiness-Karte mit persönlicher ACWR und Hooper-Score, ermöglicht den Wellness-Check-in über die vier Dimensionen Schlaf, Muskelkater, Energie und Stimmung, steuert den QR-Equipment-Checkout mit geführter Geräteanlage und stellt persönliche Statistiken zu Distanz, Sprints, Höchstgeschwindigkeit und HRV-Trend bereit. Über die App erfolgt zudem die freiwillige Eingabe der Zyklusinformation – ausschließlich durch die Spielerin selbst.</w:t>
      </w:r>
    </w:p>
    <w:p>
      <w:pPr>
        <w:keepNext/>
        <w:spacing w:before="160" w:after="80"/>
        <w:jc w:val="both"/>
      </w:pPr>
      <w:r>
        <w:rPr>
          <w:b/>
        </w:rPr>
        <w:t>Female-informed Decision Layer</w:t>
      </w:r>
    </w:p>
    <w:p>
      <w:pPr>
        <w:jc w:val="both"/>
      </w:pPr>
      <w:r>
        <w:t>Der Decision Layer ist das eigentliche Alleinstellungsmerkmal der Software. Die Analyse-Engine verarbeitet äußere Last, innere Last und subjektives Befinden zu einer priorisierten, individuellen Empfehlung. Grundlage ist die Acute:Chronic Workload Ratio aus 7-Tage-Akut- und 28-Tage-Chroniklast (Schwellen: über 1,3 erhöht, über 1,49 kritisch), eingebettet in eine individuelle Baseline jeder Spielerin – nicht in aus Männermessungen abgeleitete Referenzwerte. Genau diese individuelle, auf weibliche Physiologie kalibrierte Auswertung fehlt sowohl beim direkten als auch beim indirekten Wettbewerb.</w:t>
      </w:r>
    </w:p>
    <w:p>
      <w:pPr>
        <w:jc w:val="both"/>
      </w:pPr>
      <w:r>
        <w:t>Die freiwillige Zyklusangabe fließt dabei als ein Faktor unter mehreren in den individuellen Score ein und kontextualisiert insbesondere die Interpretation der HRV-Werte. Das Ergebnis ist für die Trainer:innen eine verständliche Ampel mit Begründungstext und einer konkreten Handlungsempfehlung je Spielerin und für das Gesamtteam (etwa „Intensität um 20 % reduzieren, Fokus Taktik und Regeneration“). Damit ersetzt die Software die Interpretationsleistung, die im Profibereich teures Fachpersonal erbringt.</w:t>
      </w:r>
    </w:p>
    <w:p>
      <w:pPr>
        <w:keepNext/>
        <w:spacing w:before="280" w:after="80"/>
        <w:jc w:val="both"/>
      </w:pPr>
      <w:r>
        <w:rPr>
          <w:b/>
        </w:rPr>
        <w:t>Datenschutz-Architektur: ein Belastungs-Tool mit Zykluskontext, keine Zyklus-App</w:t>
      </w:r>
    </w:p>
    <w:p>
      <w:pPr>
        <w:jc w:val="both"/>
      </w:pPr>
      <w:r>
        <w:t>Da BetterSquad besondere Kategorien personenbezogener Daten im Sinne des Art. 9 DSGVO (Gesundheitsdaten) verarbeitet, ist Datenschutz integraler Produktbestandteil und zugleich vertrieblicher Wettbewerbsvorteil. Die gesamte Verarbeitung erfolgt DSGVO-konform mit Serverstandort in Deutschland, verschlüsselter Übertragung und rollenbasiert getrennten Zugriffen für Trainer:innen und Spielerinnen.</w:t>
      </w:r>
    </w:p>
    <w:p>
      <w:pPr>
        <w:jc w:val="both"/>
      </w:pPr>
      <w:r>
        <w:t>Entscheidend ist die bewusst gegenläufige Architektur gegenüber zyklusbasierten Software-Plattformen, die Trainer:innen bei Einwilligung weitreichende Einsicht in Zyklusphase und Symptomhistorie der Athletinnen gewähren. Bei BetterSquad ist die freiwillige Zyklusangabe ausschließlich ein interner Score-Faktor der Spielerin und zu keinem Zeitpunkt für Trainer:innen sichtbar; diese sehen ausschließlich Ampel und Begründungstext. BetterSquad ist damit ausdrücklich keine Zyklus-App, sondern ein Belastungs-Tool mit Zykluskontext. Diese Trennung ist datenschutzrechtlich (Art. 9 DSGVO), akzeptanzpsychologisch (überwiegend männlicher Trainerstab im Amateurfußball) und positionierungsstrategisch ein wesentlicher Unterschied – und schützt zugleich die individuelle Baseline als zentralen Werttreiber.</w:t>
      </w:r>
    </w:p>
    <w:p>
      <w:pPr>
        <w:keepNext/>
        <w:spacing w:before="280" w:after="80"/>
        <w:jc w:val="both"/>
      </w:pPr>
      <w:r>
        <w:rPr>
          <w:b/>
        </w:rPr>
        <w:t>Wissenschaftliche Fundierung</w:t>
      </w:r>
    </w:p>
    <w:p>
      <w:pPr>
        <w:jc w:val="both"/>
      </w:pPr>
      <w:r>
        <w:t>Alle Kennzahlen des Systems beruhen auf etablierten sportwissenschaftlichen Methoden; das grenzt BetterSquad von rein technikgetriebenen Tracking-Gadgets ab und schafft Glaubwürdigkeit gegenüber Vereinen und Verbänden. Die Belastungssteuerung folgt dem von Gabbett (2016) validierten ACWR-Modell zur Verletzungsprävention. Der Wellness-Check-in basiert auf der nach Saw et al. (2016) bestätigten Aussagekraft subjektiver Selbstauskünfte (Hooper-Index). Die HRV-gestützte Recovery-Analyse stützt sich auf Befunde zur Trainingsadaptation und Herzfrequenzvariabilität (Plews et al., 2013), und die geschlechtsspezifische Kalibrierung trägt der Evidenz zum Einfluss des Menstruationszyklus auf die Leistungsfähigkeit Rechnung (McNulty et al., 2020).</w:t>
      </w:r>
    </w:p>
    <w:p>
      <w:pPr>
        <w:keepNext/>
        <w:spacing w:before="280" w:after="80"/>
        <w:jc w:val="both"/>
      </w:pPr>
      <w:r>
        <w:rPr>
          <w:b/>
        </w:rPr>
        <w:t>Kundennutzen und Alleinstellung</w:t>
      </w:r>
    </w:p>
    <w:p>
      <w:pPr>
        <w:jc w:val="both"/>
      </w:pPr>
      <w:r>
        <w:t>Der Kundennutzen ergibt sich aus dem Zusammenspiel der Bausteine und lässt sich entlang weniger struktureller Vorteile zusammenfassen:</w:t>
      </w:r>
    </w:p>
    <w:p>
      <w:pPr>
        <w:pStyle w:val="ListParagraph"/>
        <w:jc w:val="both"/>
      </w:pPr>
      <w:r>
        <w:rPr>
          <w:b/>
        </w:rPr>
        <w:t>Integration statt Insellösungen</w:t>
        <w:br/>
      </w:r>
      <w:r>
        <w:t>Äußere und innere Last sowie subjektives Befinden laufen in einer Plattform zusammen, statt auf getrennte Hardware-, Performance- und Wellness-Tools verteilt zu sein.</w:t>
      </w:r>
    </w:p>
    <w:p>
      <w:pPr>
        <w:pStyle w:val="ListParagraph"/>
        <w:jc w:val="both"/>
      </w:pPr>
      <w:r>
        <w:rPr>
          <w:b/>
        </w:rPr>
        <w:t>Bezahlbarkeit durch das Pool-Modell</w:t>
        <w:br/>
      </w:r>
      <w:r>
        <w:t>Eine Vereinslizenz und ein geteilter Gerätepool decken die gesamte Frauenabteilung ab; die Pro-Gerät- bzw. Pro-Spieler:in-Logik des Wettbewerbs entfällt.</w:t>
      </w:r>
    </w:p>
    <w:p>
      <w:pPr>
        <w:pStyle w:val="ListParagraph"/>
        <w:jc w:val="both"/>
      </w:pPr>
      <w:r>
        <w:rPr>
          <w:b/>
        </w:rPr>
        <w:t>Female-informed Decision Layer</w:t>
        <w:br/>
      </w:r>
      <w:r>
        <w:t>Individuelle, auf weibliche Physiologie kalibrierte Baselines statt aus Männermessungen abgeleiteter Referenzwerte – mit Zyklusangabe als kontextualisierendem Score-Faktor.</w:t>
      </w:r>
    </w:p>
    <w:p>
      <w:pPr>
        <w:pStyle w:val="ListParagraph"/>
        <w:jc w:val="both"/>
      </w:pPr>
      <w:r>
        <w:rPr>
          <w:b/>
        </w:rPr>
        <w:t>Entscheidungsunterstützung statt Rohdaten</w:t>
        <w:br/>
      </w:r>
      <w:r>
        <w:t>Ampel-Logik und Klartext-Empfehlungen machen das System ohne Sportwissenschaftler:in vor Ort bedienbar.</w:t>
      </w:r>
    </w:p>
    <w:p>
      <w:pPr>
        <w:pStyle w:val="ListParagraph"/>
        <w:jc w:val="both"/>
      </w:pPr>
      <w:r>
        <w:rPr>
          <w:b/>
        </w:rPr>
        <w:t>Datenschutz als Vertrauensvorteil</w:t>
        <w:br/>
      </w:r>
      <w:r>
        <w:t>DSGVO-konform, Serverstandort Deutschland und eine Architektur, die Zyklusdaten konsequent vor dem Trainerstab verbirgt.</w:t>
      </w:r>
    </w:p>
    <w:p>
      <w:pPr>
        <w:keepNext/>
        <w:spacing w:before="280" w:after="80"/>
        <w:jc w:val="both"/>
      </w:pPr>
      <w:r>
        <w:rPr>
          <w:b/>
        </w:rPr>
        <w:t>Entwicklungsstand und Roadmap</w:t>
      </w:r>
    </w:p>
    <w:p>
      <w:pPr>
        <w:jc w:val="both"/>
      </w:pPr>
      <w:r>
        <w:t>Der funktionsfähige Frontend-Prototyp aus Trainer:innen-Dashboard und Spieler:innen-App bildet den vollständigen Nutzungsablauf bereits ab und dient als Grundlage für Pilotvereine und Pitch. In Phase 1 folgen die Hardware-Anbindung (Live-Datenstrom aus GPS und Polar H10), das Cloud-Backend sowie ein Pilotbetrieb in einer bis zwei Frauenabteilungen. Phase 2 schärft den Decision Layer auf realen Saisondaten, ergänzt Reporting-Export und Verbandsschnittstellen. Phase 3 skaliert über die DACH-Landesverbände auf rund 85 Vereine bis Jahr 3.</w:t>
      </w:r>
    </w:p>
    <w:p>
      <w:pPr>
        <w:keepNext/>
        <w:spacing w:before="280" w:after="80"/>
        <w:jc w:val="both"/>
      </w:pPr>
      <w:r>
        <w:rPr>
          <w:b/>
        </w:rPr>
        <w:t>Literaturverzeichnis</w:t>
      </w:r>
    </w:p>
    <w:p>
      <w:pPr>
        <w:pStyle w:val="ListParagraph"/>
        <w:spacing w:after="160"/>
      </w:pPr>
      <w:r>
        <w:t>Gabbett, T. J. (2016). The training—injury prevention paradox: Should athletes be training smarter and harder? British Journal of Sports Medicine, 50(5), 273–280. https://doi.org/10.1136/bjsports-2015-095788</w:t>
      </w:r>
    </w:p>
    <w:p>
      <w:pPr>
        <w:pStyle w:val="ListParagraph"/>
        <w:spacing w:after="160"/>
      </w:pPr>
      <w:r>
        <w:t>McNulty, K. L., Elliott-Sale, K. J., Dolan, E., Swinton, P. A., Ansdell, P., Goodall, S., Thomas, K., &amp; Hicks, K. M. (2020). The effects of menstrual cycle phase on exercise performance in eumenorrheic women: A systematic review and meta-analysis. Sports Medicine, 50(10), 1813–1827. https://doi.org/10.1007/s40279-020-01319-3</w:t>
      </w:r>
    </w:p>
    <w:p>
      <w:pPr>
        <w:pStyle w:val="ListParagraph"/>
        <w:spacing w:after="160"/>
      </w:pPr>
      <w:r>
        <w:t>Plews, D. J., Laursen, P. B., Stanley, J., Kilding, A. E., &amp; Buchheit, M. (2013). Training adaptation and heart rate variability in elite endurance athletes: Opening the door to effective monitoring. Sports Medicine, 43(9), 773–781. https://doi.org/10.1007/s40279-013-0071-8</w:t>
      </w:r>
    </w:p>
    <w:p>
      <w:pPr>
        <w:pStyle w:val="ListParagraph"/>
        <w:spacing w:after="160"/>
      </w:pPr>
      <w:r>
        <w:t>Polar Electro. (n.d.). Polar H10 heart rate sensor [Product page]. Polar Electro. https://www.polar.com/de/sensoren/h10-herzfrequenz-sensor</w:t>
      </w:r>
    </w:p>
    <w:p>
      <w:pPr>
        <w:pStyle w:val="ListParagraph"/>
        <w:spacing w:after="160"/>
      </w:pPr>
      <w:r>
        <w:t>Saw, A. E., Main, L. C., &amp; Gastin, P. B. (2016). Monitoring the athlete training response: Subjective self-reported measures trump commonly used objective measures – A systematic review. British Journal of Sports Medicine, 50(5), 281–291. https://doi.org/10.1136/bjsports-2015-094758</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