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sz w:val="72"/>
          <w:szCs w:val="72"/>
        </w:rPr>
        <w:t xml:space="preserve"/>
      </w:r>
    </w:p>
    <w:p>
      <w:pPr>
        <w:spacing w:after="60" w:before="0"/>
        <w:jc w:val="center"/>
      </w:pPr>
      <w:r>
        <w:rPr>
          <w:rFonts w:ascii="Georgia" w:cs="Georgia" w:eastAsia="Georgia" w:hAnsi="Georgia"/>
          <w:b/>
          <w:bCs/>
          <w:color w:val="333333"/>
          <w:spacing w:val="120"/>
          <w:sz w:val="44"/>
          <w:szCs w:val="44"/>
        </w:rPr>
        <w:t xml:space="preserve">FARTHER</w:t>
      </w:r>
    </w:p>
    <w:p>
      <w:pPr>
        <w:spacing w:after="120" w:before="0"/>
        <w:jc w:val="center"/>
      </w:pPr>
      <w:r>
        <w:rPr>
          <w:rFonts w:ascii="Georgia" w:cs="Georgia" w:eastAsia="Georgia" w:hAnsi="Georgia"/>
          <w:color w:val="1d7682"/>
          <w:spacing w:val="160"/>
          <w:sz w:val="24"/>
          <w:szCs w:val="24"/>
        </w:rPr>
        <w:t xml:space="preserve">COMPLIANCE</w:t>
      </w:r>
    </w:p>
    <w:p>
      <w:pPr>
        <w:pBdr>
          <w:bottom w:val="single" w:color="5b6a71" w:sz="6" w:space="1"/>
        </w:pBdr>
        <w:spacing w:after="80" w:before="80"/>
      </w:pPr>
    </w:p>
    <w:p>
      <w:pPr>
        <w:spacing w:after="0" w:before="0" w:line="240"/>
      </w:pPr>
      <w:r>
        <w:rPr>
          <w:sz w:val="36"/>
          <w:szCs w:val="36"/>
        </w:rPr>
        <w:t xml:space="preserve"/>
      </w:r>
    </w:p>
    <w:p>
      <w:pPr>
        <w:spacing w:after="80" w:before="0"/>
        <w:jc w:val="center"/>
      </w:pPr>
      <w:r>
        <w:rPr>
          <w:rFonts w:ascii="Georgia" w:cs="Georgia" w:eastAsia="Georgia" w:hAnsi="Georgia"/>
          <w:b/>
          <w:bCs/>
          <w:color w:val="333333"/>
          <w:sz w:val="52"/>
          <w:szCs w:val="52"/>
        </w:rPr>
        <w:t xml:space="preserve">Robert S. Davenport</w:t>
      </w:r>
    </w:p>
    <w:p>
      <w:pPr>
        <w:spacing w:after="60" w:before="60"/>
        <w:jc w:val="center"/>
      </w:pPr>
      <w:r>
        <w:rPr>
          <w:rFonts w:ascii="Georgia" w:cs="Georgia" w:eastAsia="Georgia" w:hAnsi="Georgia"/>
          <w:color w:val="1d7682"/>
          <w:sz w:val="28"/>
          <w:szCs w:val="28"/>
        </w:rPr>
        <w:t xml:space="preserve">Wealth Advisor &amp; Principal</w:t>
      </w:r>
    </w:p>
    <w:p>
      <w:pPr>
        <w:spacing w:after="0" w:before="0" w:line="240"/>
      </w:pPr>
      <w:r>
        <w:rPr>
          <w:sz w:val="16"/>
          <w:szCs w:val="16"/>
        </w:rPr>
        <w:t xml:space="preserve"/>
      </w:r>
    </w:p>
    <w:p>
      <w:pPr>
        <w:spacing w:after="120" w:before="0"/>
        <w:jc w:val="center"/>
      </w:pPr>
      <w:r>
        <w:rPr>
          <w:rFonts w:ascii="Georgia" w:cs="Georgia" w:eastAsia="Georgia" w:hAnsi="Georgia"/>
          <w:b/>
          <w:bCs/>
          <w:color w:val="333333"/>
          <w:sz w:val="48"/>
          <w:szCs w:val="48"/>
        </w:rPr>
        <w:t xml:space="preserve">ADV Part 2B</w:t>
      </w:r>
    </w:p>
    <w:p>
      <w:pPr>
        <w:spacing w:after="160" w:before="0"/>
        <w:jc w:val="center"/>
      </w:pPr>
      <w:r>
        <w:rPr>
          <w:rFonts w:ascii="Georgia" w:cs="Georgia" w:eastAsia="Georgia" w:hAnsi="Georgia"/>
          <w:color w:val="1d7682"/>
          <w:sz w:val="36"/>
          <w:szCs w:val="36"/>
        </w:rPr>
        <w:t xml:space="preserve">Brochure Supplement</w:t>
      </w:r>
    </w:p>
    <w:p>
      <w:pPr>
        <w:spacing w:after="0" w:before="0" w:line="240"/>
      </w:pPr>
      <w:r>
        <w:rPr>
          <w:sz w:val="24"/>
          <w:szCs w:val="24"/>
        </w:rPr>
        <w:t xml:space="preserve"/>
      </w:r>
    </w:p>
    <w:p>
      <w:pPr>
        <w:pBdr>
          <w:bottom w:val="single" w:color="b6d0ed" w:sz="4" w:space="1"/>
        </w:pBdr>
        <w:spacing w:after="80" w:before="80"/>
      </w:pPr>
    </w:p>
    <w:p>
      <w:pPr>
        <w:spacing w:after="0" w:before="0" w:line="240"/>
      </w:pPr>
      <w:r>
        <w:rPr>
          <w:sz w:val="24"/>
          <w:szCs w:val="24"/>
        </w:rPr>
        <w:t xml:space="preserve"/>
      </w:r>
    </w:p>
    <w:p>
      <w:pPr>
        <w:spacing w:after="40" w:before="40"/>
        <w:jc w:val="center"/>
      </w:pPr>
      <w:r>
        <w:rPr>
          <w:rFonts w:ascii="Georgia" w:cs="Georgia" w:eastAsia="Georgia" w:hAnsi="Georgia"/>
          <w:b/>
          <w:bCs/>
          <w:color w:val="5b6a71"/>
          <w:sz w:val="20"/>
          <w:szCs w:val="20"/>
        </w:rPr>
        <w:t xml:space="preserve">Date: </w:t>
      </w:r>
      <w:r>
        <w:rPr>
          <w:rFonts w:ascii="Georgia" w:cs="Georgia" w:eastAsia="Georgia" w:hAnsi="Georgia"/>
          <w:color w:val="5b6a71"/>
          <w:sz w:val="20"/>
          <w:szCs w:val="20"/>
        </w:rPr>
        <w:t xml:space="preserve">September 10, 2024</w:t>
      </w:r>
    </w:p>
    <w:p>
      <w:pPr>
        <w:spacing w:after="40" w:before="40"/>
        <w:jc w:val="center"/>
      </w:pPr>
      <w:r>
        <w:rPr>
          <w:rFonts w:ascii="Georgia" w:cs="Georgia" w:eastAsia="Georgia" w:hAnsi="Georgia"/>
          <w:b/>
          <w:bCs/>
          <w:color w:val="5b6a71"/>
          <w:sz w:val="20"/>
          <w:szCs w:val="20"/>
        </w:rPr>
        <w:t xml:space="preserve">Website: </w:t>
      </w:r>
      <w:r>
        <w:rPr>
          <w:rFonts w:ascii="Georgia" w:cs="Georgia" w:eastAsia="Georgia" w:hAnsi="Georgia"/>
          <w:color w:val="5b6a71"/>
          <w:sz w:val="20"/>
          <w:szCs w:val="20"/>
        </w:rPr>
        <w:t xml:space="preserve">www.farther.com</w:t>
      </w:r>
    </w:p>
    <w:p>
      <w:pPr>
        <w:spacing w:after="40" w:before="40"/>
        <w:jc w:val="center"/>
      </w:pPr>
      <w:r>
        <w:rPr>
          <w:rFonts w:ascii="Georgia" w:cs="Georgia" w:eastAsia="Georgia" w:hAnsi="Georgia"/>
          <w:b/>
          <w:bCs/>
          <w:color w:val="5b6a71"/>
          <w:sz w:val="20"/>
          <w:szCs w:val="20"/>
        </w:rPr>
        <w:t xml:space="preserve">Contact: </w:t>
      </w:r>
      <w:r>
        <w:rPr>
          <w:rFonts w:ascii="Georgia" w:cs="Georgia" w:eastAsia="Georgia" w:hAnsi="Georgia"/>
          <w:color w:val="5b6a71"/>
          <w:sz w:val="20"/>
          <w:szCs w:val="20"/>
        </w:rPr>
        <w:t xml:space="preserve">Christopher Powers, Chief Compliance Officer</w:t>
      </w:r>
    </w:p>
    <w:p>
      <w:pPr>
        <w:spacing w:after="0" w:before="0" w:line="240"/>
      </w:pPr>
      <w:r>
        <w:rPr>
          <w:sz w:val="48"/>
          <w:szCs w:val="48"/>
        </w:rPr>
        <w:t xml:space="preserve"/>
      </w:r>
    </w:p>
    <w:p>
      <w:pPr>
        <w:pBdr>
          <w:bottom w:val="single" w:color="b6d0ed" w:sz="4" w:space="1"/>
        </w:pBdr>
        <w:spacing w:after="80" w:before="80"/>
      </w:pPr>
    </w:p>
    <w:p>
      <w:pPr>
        <w:spacing w:after="0" w:before="0" w:line="240"/>
      </w:pPr>
      <w:r>
        <w:rPr>
          <w:sz w:val="16"/>
          <w:szCs w:val="16"/>
        </w:rPr>
        <w:t xml:space="preserve"/>
      </w:r>
    </w:p>
    <w:p>
      <w:pPr>
        <w:spacing w:after="40" w:before="60"/>
        <w:jc w:val="center"/>
      </w:pPr>
      <w:r>
        <w:rPr>
          <w:rFonts w:ascii="Georgia" w:cs="Georgia" w:eastAsia="Georgia" w:hAnsi="Georgia"/>
          <w:b/>
          <w:bCs/>
          <w:color w:val="1d7682"/>
          <w:spacing w:val="80"/>
          <w:sz w:val="18"/>
          <w:szCs w:val="18"/>
        </w:rPr>
        <w:t xml:space="preserve">DISCLOSURE DOCUMENT</w:t>
      </w:r>
    </w:p>
    <w:p>
      <w:pPr>
        <w:spacing w:after="0" w:before="0"/>
        <w:jc w:val="center"/>
      </w:pPr>
      <w:r>
        <w:rPr>
          <w:rFonts w:ascii="Georgia" w:cs="Georgia" w:eastAsia="Georgia" w:hAnsi="Georgia"/>
          <w:color w:val="5b6a71"/>
          <w:sz w:val="18"/>
          <w:szCs w:val="18"/>
        </w:rPr>
        <w:t xml:space="preserve">For Client Use  •  Farther Finance Advisors, LLC</w:t>
      </w:r>
    </w:p>
    <w:p>
      <w:pPr>
        <w:sectPr>
          <w:pgSz w:w="12240" w:h="15840" w:orient="portrait"/>
          <w:pgMar w:top="1440" w:right="1440" w:bottom="1440" w:left="1440" w:header="708" w:footer="708" w:gutter="0"/>
          <w:pgNumType/>
          <w:titlePg w:val="false"/>
          <w:docGrid w:linePitch="360"/>
        </w:sectPr>
      </w:pPr>
    </w:p>
    <w:p>
      <w:r>
        <w:br w:type="page"/>
      </w:r>
    </w:p>
    <w:p>
      <w:pPr>
        <w:spacing w:after="120" w:before="240"/>
      </w:pPr>
      <w:r>
        <w:rPr>
          <w:rFonts w:ascii="Georgia" w:cs="Georgia" w:eastAsia="Georgia" w:hAnsi="Georgia"/>
          <w:b/>
          <w:bCs/>
          <w:color w:val="333333"/>
          <w:sz w:val="32"/>
          <w:szCs w:val="32"/>
        </w:rPr>
        <w:t xml:space="preserve">Item 1   Cover Page</w:t>
      </w:r>
    </w:p>
    <w:p>
      <w:pPr>
        <w:pBdr>
          <w:bottom w:val="single" w:color="5b6a71" w:sz="6" w:space="1"/>
        </w:pBdr>
        <w:spacing w:after="80" w:before="80"/>
      </w:pPr>
    </w:p>
    <w:p>
      <w:pPr>
        <w:spacing w:after="0" w:before="0" w:line="240"/>
      </w:pPr>
      <w:r>
        <w:rPr>
          <w:sz w:val="8"/>
          <w:szCs w:val="8"/>
        </w:rPr>
        <w:t xml:space="preserve"/>
      </w:r>
    </w:p>
    <w:p>
      <w:pPr>
        <w:spacing w:after="60" w:before="60" w:line="300"/>
      </w:pPr>
      <w:r>
        <w:rPr>
          <w:rFonts w:ascii="Georgia" w:cs="Georgia" w:eastAsia="Georgia" w:hAnsi="Georgia"/>
          <w:b/>
          <w:bCs/>
          <w:color w:val="333333"/>
          <w:sz w:val="22"/>
          <w:szCs w:val="22"/>
        </w:rPr>
        <w:t xml:space="preserve">A.</w:t>
      </w:r>
    </w:p>
    <w:p>
      <w:pPr>
        <w:spacing w:after="0" w:before="0" w:line="240"/>
      </w:pPr>
      <w:r>
        <w:rPr>
          <w:sz w:val="8"/>
          <w:szCs w:val="8"/>
        </w:rPr>
        <w:t xml:space="preserve"/>
      </w:r>
    </w:p>
    <w:p>
      <w:pPr>
        <w:spacing w:after="40" w:before="60"/>
        <w:jc w:val="center"/>
      </w:pPr>
      <w:r>
        <w:rPr>
          <w:rFonts w:ascii="Georgia" w:cs="Georgia" w:eastAsia="Georgia" w:hAnsi="Georgia"/>
          <w:b/>
          <w:bCs/>
          <w:color w:val="333333"/>
          <w:sz w:val="36"/>
          <w:szCs w:val="36"/>
        </w:rPr>
        <w:t xml:space="preserve">Robert S. Davenport</w:t>
      </w:r>
    </w:p>
    <w:p>
      <w:pPr>
        <w:spacing w:after="80" w:before="0"/>
        <w:jc w:val="center"/>
      </w:pPr>
      <w:r>
        <w:rPr>
          <w:rFonts w:ascii="Georgia" w:cs="Georgia" w:eastAsia="Georgia" w:hAnsi="Georgia"/>
          <w:color w:val="1d7682"/>
          <w:sz w:val="28"/>
          <w:szCs w:val="28"/>
        </w:rPr>
        <w:t xml:space="preserve">Farther Finance Advisors, LLC</w:t>
      </w:r>
    </w:p>
    <w:p>
      <w:pPr>
        <w:spacing w:after="40" w:before="0"/>
        <w:jc w:val="center"/>
      </w:pPr>
      <w:r>
        <w:rPr>
          <w:rFonts w:ascii="Georgia" w:cs="Georgia" w:eastAsia="Georgia" w:hAnsi="Georgia"/>
          <w:color w:val="5b6a71"/>
          <w:sz w:val="24"/>
          <w:szCs w:val="24"/>
        </w:rPr>
        <w:t xml:space="preserve">ADV Part 2B, Brochure Supplement</w:t>
      </w:r>
    </w:p>
    <w:p>
      <w:pPr>
        <w:spacing w:after="160" w:before="0"/>
        <w:jc w:val="center"/>
      </w:pPr>
      <w:r>
        <w:rPr>
          <w:rFonts w:ascii="Georgia" w:cs="Georgia" w:eastAsia="Georgia" w:hAnsi="Georgia"/>
          <w:color w:val="5b6a71"/>
          <w:sz w:val="22"/>
          <w:szCs w:val="22"/>
        </w:rPr>
        <w:t xml:space="preserve">Dated September 10, 2024</w:t>
      </w:r>
    </w:p>
    <w:p>
      <w:pPr>
        <w:spacing w:after="40" w:before="0"/>
        <w:jc w:val="center"/>
      </w:pPr>
      <w:r>
        <w:rPr>
          <w:rFonts w:ascii="Georgia" w:cs="Georgia" w:eastAsia="Georgia" w:hAnsi="Georgia"/>
          <w:color w:val="1d7682"/>
          <w:sz w:val="22"/>
          <w:szCs w:val="22"/>
        </w:rPr>
        <w:t xml:space="preserve">www.farther.com</w:t>
      </w:r>
    </w:p>
    <w:p>
      <w:pPr>
        <w:spacing w:after="160" w:before="0"/>
        <w:jc w:val="center"/>
      </w:pPr>
      <w:r>
        <w:rPr>
          <w:rFonts w:ascii="Georgia" w:cs="Georgia" w:eastAsia="Georgia" w:hAnsi="Georgia"/>
          <w:color w:val="333333"/>
          <w:sz w:val="22"/>
          <w:szCs w:val="22"/>
        </w:rPr>
        <w:t xml:space="preserve">Contact: Christopher Powers, Chief Compliance Officer</w:t>
      </w:r>
    </w:p>
    <w:p>
      <w:pPr>
        <w:pBdr>
          <w:bottom w:val="single" w:color="b6d0ed" w:sz="4" w:space="1"/>
        </w:pBdr>
        <w:spacing w:after="80" w:before="80"/>
      </w:pPr>
    </w:p>
    <w:p>
      <w:pPr>
        <w:spacing w:after="0" w:before="0" w:line="240"/>
      </w:pPr>
      <w:r>
        <w:rPr>
          <w:sz w:val="16"/>
          <w:szCs w:val="16"/>
        </w:rPr>
        <w:t xml:space="preserve"/>
      </w:r>
    </w:p>
    <w:p>
      <w:pPr>
        <w:spacing w:after="60" w:before="60" w:line="300"/>
      </w:pPr>
      <w:r>
        <w:rPr>
          <w:rFonts w:ascii="Georgia" w:cs="Georgia" w:eastAsia="Georgia" w:hAnsi="Georgia"/>
          <w:b/>
          <w:bCs/>
          <w:color w:val="333333"/>
          <w:sz w:val="22"/>
          <w:szCs w:val="22"/>
        </w:rPr>
        <w:t xml:space="preserve">B.  </w:t>
      </w:r>
    </w:p>
    <w:p>
      <w:pPr>
        <w:spacing w:after="0" w:before="0" w:line="240"/>
      </w:pPr>
      <w:r>
        <w:rPr>
          <w:sz w:val="8"/>
          <w:szCs w:val="8"/>
        </w:rPr>
        <w:t xml:space="preserve"/>
      </w:r>
    </w:p>
    <w:p>
      <w:pPr>
        <w:spacing w:after="60" w:before="60" w:line="300"/>
      </w:pPr>
      <w:r>
        <w:rPr>
          <w:rFonts w:ascii="Georgia" w:cs="Georgia" w:eastAsia="Georgia" w:hAnsi="Georgia"/>
          <w:b/>
          <w:bCs/>
          <w:color w:val="333333"/>
          <w:sz w:val="22"/>
          <w:szCs w:val="22"/>
        </w:rPr>
        <w:t>This Brochure Supplement provides information about Robert S. Davenport that supplements the Farther Finance Advisors, LLC Brochure; you should have received a copy of that Brochure. Please contact Christopher Powers, Chief Compliance Officer, if you did not receive Farther Finance Advisors, LLC’s Brochure or if you have any questions about the contents of this supplement.</w:t>
      </w:r>
    </w:p>
    <w:p>
      <w:pPr>
        <w:spacing w:after="0" w:before="0" w:line="240"/>
      </w:pPr>
      <w:r>
        <w:rPr>
          <w:sz w:val="12"/>
          <w:szCs w:val="12"/>
        </w:rPr>
        <w:t xml:space="preserve"/>
      </w:r>
    </w:p>
    <w:p>
      <w:pPr>
        <w:spacing w:after="60" w:before="60" w:line="300"/>
      </w:pPr>
      <w:r>
        <w:rPr>
          <w:rFonts w:ascii="Georgia" w:cs="Georgia" w:eastAsia="Georgia" w:hAnsi="Georgia"/>
          <w:b/>
          <w:bCs/>
          <w:color w:val="333333"/>
          <w:sz w:val="22"/>
          <w:szCs w:val="22"/>
        </w:rPr>
        <w:t xml:space="preserve">Additional information about Robert S. Davenport is available on the SEC’s website at </w:t>
      </w:r>
      <w:r>
        <w:rPr>
          <w:rFonts w:ascii="Georgia" w:cs="Georgia" w:eastAsia="Georgia" w:hAnsi="Georgia"/>
          <w:b/>
          <w:bCs/>
          <w:color w:val="1d7682"/>
          <w:sz w:val="22"/>
          <w:szCs w:val="22"/>
        </w:rPr>
        <w:t xml:space="preserve">www.adviserinfo.sec.gov</w:t>
      </w:r>
    </w:p>
    <w:p>
      <w:pPr>
        <w:spacing w:after="0" w:before="0" w:line="240"/>
      </w:pPr>
      <w:r>
        <w:rPr>
          <w:sz w:val="32"/>
          <w:szCs w:val="32"/>
        </w:rPr>
        <w:t xml:space="preserve"/>
      </w:r>
    </w:p>
    <w:p>
      <w:pPr>
        <w:pBdr>
          <w:bottom w:val="single" w:color="5b6a71" w:sz="6" w:space="1"/>
        </w:pBdr>
        <w:spacing w:after="80" w:before="80"/>
      </w:pPr>
    </w:p>
    <w:p>
      <w:pPr>
        <w:spacing w:after="120" w:before="240"/>
      </w:pPr>
      <w:r>
        <w:rPr>
          <w:rFonts w:ascii="Georgia" w:cs="Georgia" w:eastAsia="Georgia" w:hAnsi="Georgia"/>
          <w:b/>
          <w:bCs/>
          <w:color w:val="333333"/>
          <w:sz w:val="32"/>
          <w:szCs w:val="32"/>
        </w:rPr>
        <w:t xml:space="preserve">Item 2   Education Background and Business Experience</w:t>
      </w:r>
    </w:p>
    <w:p>
      <w:pPr>
        <w:pBdr>
          <w:bottom w:val="single" w:color="5b6a71" w:sz="6" w:space="1"/>
        </w:pBdr>
        <w:spacing w:after="80" w:before="80"/>
      </w:pP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Robert S. Davenport was born in  1966. Mr. Davenport graduated from University of Las Vegas in  2004, with a Bachelor of Science degree in Finance. Mr. Davenport has been a Wealth Advisor and Principal with Farther Finance Advisors, LLC since  October 2023. From  July 2020 through  October 2023, Mr. Davenport was Head of Office with Goldman Sachs Personal Financial Management. From  January 2009 through  July 2020, Mr. Davenport was a Partner with United Capital.</w:t>
      </w: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Mr. Davenport earned the Master of Science in Financial Services (MSFS) in  2010. The MSFS is an accredited master’s degree awarded by The American College, a non-profit educational institution with an 84-year heritage. The MSFS graduate program provides advisors with in-depth education to help them analyze, plan, and implement integrated strategies in financial planning. This academic degree includes 10 required graduate courses and two electives in advanced financial planning topics.</w:t>
      </w:r>
    </w:p>
    <w:p>
      <w:pPr>
        <w:spacing w:after="0" w:before="0" w:line="240"/>
      </w:pPr>
      <w:r>
        <w:rPr>
          <w:sz w:val="32"/>
          <w:szCs w:val="32"/>
        </w:rPr>
        <w:t xml:space="preserve"/>
      </w:r>
    </w:p>
    <w:p>
      <w:pPr>
        <w:pBdr>
          <w:bottom w:val="single" w:color="5b6a71" w:sz="6" w:space="1"/>
        </w:pBdr>
        <w:spacing w:after="80" w:before="80"/>
      </w:pPr>
    </w:p>
    <w:p>
      <w:pPr>
        <w:spacing w:after="120" w:before="240"/>
      </w:pPr>
      <w:r>
        <w:rPr>
          <w:rFonts w:ascii="Georgia" w:cs="Georgia" w:eastAsia="Georgia" w:hAnsi="Georgia"/>
          <w:b/>
          <w:bCs/>
          <w:color w:val="333333"/>
          <w:sz w:val="32"/>
          <w:szCs w:val="32"/>
        </w:rPr>
        <w:t xml:space="preserve">Item 3   Disciplinary Information</w:t>
      </w:r>
    </w:p>
    <w:p>
      <w:pPr>
        <w:pBdr>
          <w:bottom w:val="single" w:color="5b6a71" w:sz="6" w:space="1"/>
        </w:pBdr>
        <w:spacing w:after="80" w:before="80"/>
      </w:pP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None.</w:t>
      </w:r>
    </w:p>
    <w:p>
      <w:pPr>
        <w:spacing w:after="0" w:before="0" w:line="240"/>
      </w:pPr>
      <w:r>
        <w:rPr>
          <w:sz w:val="32"/>
          <w:szCs w:val="32"/>
        </w:rPr>
        <w:t xml:space="preserve"/>
      </w:r>
    </w:p>
    <w:p>
      <w:pPr>
        <w:pBdr>
          <w:bottom w:val="single" w:color="5b6a71" w:sz="6" w:space="1"/>
        </w:pBdr>
        <w:spacing w:after="80" w:before="80"/>
      </w:pPr>
    </w:p>
    <w:p>
      <w:pPr>
        <w:spacing w:after="120" w:before="240"/>
      </w:pPr>
      <w:r>
        <w:rPr>
          <w:rFonts w:ascii="Georgia" w:cs="Georgia" w:eastAsia="Georgia" w:hAnsi="Georgia"/>
          <w:b/>
          <w:bCs/>
          <w:color w:val="333333"/>
          <w:sz w:val="32"/>
          <w:szCs w:val="32"/>
        </w:rPr>
        <w:t xml:space="preserve">Item 4   Other Business Activities</w:t>
      </w:r>
    </w:p>
    <w:p>
      <w:pPr>
        <w:pBdr>
          <w:bottom w:val="single" w:color="5b6a71" w:sz="6" w:space="1"/>
        </w:pBdr>
        <w:spacing w:after="80" w:before="80"/>
      </w:pPr>
    </w:p>
    <w:p>
      <w:pPr>
        <w:spacing w:after="0" w:before="0" w:line="240"/>
      </w:pPr>
      <w:r>
        <w:rPr>
          <w:sz w:val="12"/>
          <w:szCs w:val="12"/>
        </w:rPr>
        <w:t xml:space="preserve"/>
      </w:r>
    </w:p>
    <w:p>
      <w:pPr>
        <w:spacing w:after="80" w:before="200"/>
      </w:pPr>
      <w:r>
        <w:rPr>
          <w:rFonts w:ascii="Georgia" w:cs="Georgia" w:eastAsia="Georgia" w:hAnsi="Georgia"/>
          <w:b/>
          <w:bCs/>
          <w:color w:val="1d7682"/>
          <w:sz w:val="26"/>
          <w:szCs w:val="26"/>
        </w:rPr>
        <w:t xml:space="preserve">A.   Investment-Related Business Activities</w:t>
      </w:r>
    </w:p>
    <w:p>
      <w:pPr>
        <w:spacing w:after="60" w:before="60" w:line="300"/>
      </w:pPr>
      <w:r>
        <w:rPr>
          <w:rFonts w:ascii="Georgia" w:cs="Georgia" w:eastAsia="Georgia" w:hAnsi="Georgia"/>
          <w:color w:val="333333"/>
          <w:sz w:val="22"/>
          <w:szCs w:val="22"/>
        </w:rPr>
        <w:t xml:space="preserve">The supervised person is not actively engaged in any other investment-related businesses or occupations.</w:t>
      </w:r>
    </w:p>
    <w:p>
      <w:pPr>
        <w:spacing w:after="0" w:before="0" w:line="240"/>
      </w:pPr>
      <w:r>
        <w:rPr>
          <w:sz w:val="16"/>
          <w:szCs w:val="16"/>
        </w:rPr>
        <w:t xml:space="preserve"/>
      </w:r>
    </w:p>
    <w:p>
      <w:pPr>
        <w:spacing w:after="80" w:before="200"/>
      </w:pPr>
      <w:r>
        <w:rPr>
          <w:rFonts w:ascii="Georgia" w:cs="Georgia" w:eastAsia="Georgia" w:hAnsi="Georgia"/>
          <w:b/>
          <w:bCs/>
          <w:color w:val="1d7682"/>
          <w:sz w:val="26"/>
          <w:szCs w:val="26"/>
        </w:rPr>
        <w:t xml:space="preserve">B.   Licensed Insurance Agent</w:t>
      </w:r>
    </w:p>
    <w:p>
      <w:pPr>
        <w:spacing w:after="60" w:before="60" w:line="300"/>
      </w:pPr>
      <w:r>
        <w:rPr>
          <w:rFonts w:ascii="Georgia" w:cs="Georgia" w:eastAsia="Georgia" w:hAnsi="Georgia"/>
          <w:color w:val="333333"/>
          <w:sz w:val="22"/>
          <w:szCs w:val="22"/>
        </w:rPr>
        <w:t xml:space="preserve">Mr. Davenport, in his individual capacity, is a </w:t>
      </w:r>
      <w:r>
        <w:rPr>
          <w:rFonts w:ascii="Georgia" w:cs="Georgia" w:eastAsia="Georgia" w:hAnsi="Georgia"/>
          <w:b/>
          <w:bCs/>
          <w:color w:val="333333"/>
          <w:sz w:val="22"/>
          <w:szCs w:val="22"/>
        </w:rPr>
        <w:t xml:space="preserve">licensed insurance agent</w:t>
      </w:r>
      <w:r>
        <w:rPr>
          <w:rFonts w:ascii="Georgia" w:cs="Georgia" w:eastAsia="Georgia" w:hAnsi="Georgia"/>
          <w:color w:val="333333"/>
          <w:sz w:val="22"/>
          <w:szCs w:val="22"/>
        </w:rPr>
        <w:t xml:space="preserve">, and may recommend the purchase of certain insurance-related products on a commission basis. Clients can engage Mr. Davenport to purchase insurance products on a commission basis.</w:t>
      </w:r>
    </w:p>
    <w:p>
      <w:pPr>
        <w:spacing w:after="0" w:before="0" w:line="240"/>
      </w:pPr>
      <w:r>
        <w:rPr>
          <w:sz w:val="12"/>
          <w:szCs w:val="12"/>
        </w:rPr>
        <w:t xml:space="preserve"/>
      </w:r>
    </w:p>
    <w:p>
      <w:pPr>
        <w:pBdr>
          <w:top w:val="single" w:color="b6d0ed" w:sz="4" w:space="4"/>
          <w:left w:val="single" w:color="1d7682" w:sz="16" w:space="10"/>
          <w:bottom w:val="single" w:color="b6d0ed" w:sz="4" w:space="4"/>
          <w:right w:val="single" w:color="b6d0ed" w:sz="4" w:space="4"/>
        </w:pBdr>
        <w:shd w:fill="f5faff" w:val="clear"/>
        <w:spacing w:after="120" w:before="120" w:line="300"/>
        <w:ind w:left="200" w:right="200"/>
      </w:pPr>
      <w:r>
        <w:rPr>
          <w:rFonts w:ascii="Georgia" w:cs="Georgia" w:eastAsia="Georgia" w:hAnsi="Georgia"/>
          <w:b/>
          <w:bCs/>
          <w:color w:val="1d7682"/>
          <w:sz w:val="21"/>
          <w:szCs w:val="21"/>
        </w:rPr>
        <w:t xml:space="preserve">Conflict of Interest: </w:t>
      </w:r>
      <w:r>
        <w:rPr>
          <w:rFonts w:ascii="Georgia" w:cs="Georgia" w:eastAsia="Georgia" w:hAnsi="Georgia"/>
          <w:color w:val="333333"/>
          <w:sz w:val="21"/>
          <w:szCs w:val="21"/>
        </w:rPr>
        <w:t xml:space="preserve">The recommendation by Mr. Davenport that a client purchase an insurance commission product presents a conflict of interest, as the receipt of commissions may provide an incentive to recommend insurance products based on commissions to be received, rather than on a particular client’s need. No client is under any obligation to purchase any insurance commission products from Mr. Davenport. Clients are reminded that they may purchase insurance products recommended by Mr. Davenport through other, non-affiliated insurance agents. The Registrant’s Chief Compliance Officer, Christopher Powers, remains available to address any questions that a client or prospective client may have regarding the above conflict of interest.</w:t>
      </w:r>
    </w:p>
    <w:p>
      <w:pPr>
        <w:spacing w:after="0" w:before="0" w:line="240"/>
      </w:pPr>
      <w:r>
        <w:rPr>
          <w:sz w:val="32"/>
          <w:szCs w:val="32"/>
        </w:rPr>
        <w:t xml:space="preserve"/>
      </w:r>
    </w:p>
    <w:p>
      <w:pPr>
        <w:pBdr>
          <w:bottom w:val="single" w:color="5b6a71" w:sz="6" w:space="1"/>
        </w:pBdr>
        <w:spacing w:after="80" w:before="80"/>
      </w:pPr>
    </w:p>
    <w:p>
      <w:pPr>
        <w:spacing w:after="120" w:before="240"/>
      </w:pPr>
      <w:r>
        <w:rPr>
          <w:rFonts w:ascii="Georgia" w:cs="Georgia" w:eastAsia="Georgia" w:hAnsi="Georgia"/>
          <w:b/>
          <w:bCs/>
          <w:color w:val="333333"/>
          <w:sz w:val="32"/>
          <w:szCs w:val="32"/>
        </w:rPr>
        <w:t xml:space="preserve">Item 5   Additional Compensation</w:t>
      </w:r>
    </w:p>
    <w:p>
      <w:pPr>
        <w:pBdr>
          <w:bottom w:val="single" w:color="5b6a71" w:sz="6" w:space="1"/>
        </w:pBdr>
        <w:spacing w:after="80" w:before="80"/>
      </w:pP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Mr. Davenport’s annual compensation is based, in part, on the </w:t>
      </w:r>
      <w:r>
        <w:rPr>
          <w:rFonts w:ascii="Georgia" w:cs="Georgia" w:eastAsia="Georgia" w:hAnsi="Georgia"/>
          <w:b/>
          <w:bCs/>
          <w:color w:val="333333"/>
          <w:sz w:val="22"/>
          <w:szCs w:val="22"/>
        </w:rPr>
        <w:t xml:space="preserve">amount of assets under management</w:t>
      </w:r>
      <w:r>
        <w:rPr>
          <w:rFonts w:ascii="Georgia" w:cs="Georgia" w:eastAsia="Georgia" w:hAnsi="Georgia"/>
          <w:color w:val="333333"/>
          <w:sz w:val="22"/>
          <w:szCs w:val="22"/>
        </w:rPr>
        <w:t xml:space="preserve"> that Mr. Davenport introduces to the Registrant and the </w:t>
      </w:r>
      <w:r>
        <w:rPr>
          <w:rFonts w:ascii="Georgia" w:cs="Georgia" w:eastAsia="Georgia" w:hAnsi="Georgia"/>
          <w:b/>
          <w:bCs/>
          <w:color w:val="333333"/>
          <w:sz w:val="22"/>
          <w:szCs w:val="22"/>
        </w:rPr>
        <w:t xml:space="preserve">number of clients</w:t>
      </w:r>
      <w:r>
        <w:rPr>
          <w:rFonts w:ascii="Georgia" w:cs="Georgia" w:eastAsia="Georgia" w:hAnsi="Georgia"/>
          <w:color w:val="333333"/>
          <w:sz w:val="22"/>
          <w:szCs w:val="22"/>
        </w:rPr>
        <w:t xml:space="preserve"> that Mr. Davenport introduces to the Registrant.</w:t>
      </w:r>
    </w:p>
    <w:p>
      <w:pPr>
        <w:spacing w:after="0" w:before="0" w:line="240"/>
      </w:pPr>
      <w:r>
        <w:rPr>
          <w:sz w:val="12"/>
          <w:szCs w:val="12"/>
        </w:rPr>
        <w:t xml:space="preserve"/>
      </w:r>
    </w:p>
    <w:p>
      <w:pPr>
        <w:pBdr>
          <w:top w:val="single" w:color="b6d0ed" w:sz="4" w:space="4"/>
          <w:left w:val="single" w:color="1d7682" w:sz="16" w:space="10"/>
          <w:bottom w:val="single" w:color="b6d0ed" w:sz="4" w:space="4"/>
          <w:right w:val="single" w:color="b6d0ed" w:sz="4" w:space="4"/>
        </w:pBdr>
        <w:shd w:fill="f5faff" w:val="clear"/>
        <w:spacing w:after="120" w:before="120" w:line="300"/>
        <w:ind w:left="200" w:right="200"/>
      </w:pPr>
      <w:r>
        <w:rPr>
          <w:rFonts w:ascii="Georgia" w:cs="Georgia" w:eastAsia="Georgia" w:hAnsi="Georgia"/>
          <w:b/>
          <w:bCs/>
          <w:color w:val="1d7682"/>
          <w:sz w:val="21"/>
          <w:szCs w:val="21"/>
        </w:rPr>
        <w:t xml:space="preserve">Conflict of Interest: </w:t>
      </w:r>
      <w:r>
        <w:rPr>
          <w:rFonts w:ascii="Georgia" w:cs="Georgia" w:eastAsia="Georgia" w:hAnsi="Georgia"/>
          <w:color w:val="333333"/>
          <w:sz w:val="21"/>
          <w:szCs w:val="21"/>
        </w:rPr>
        <w:t xml:space="preserve">Accordingly, Mr. Davenport has a conflict of interest for recommending the Registrant to clients for investment advisory services, as the recommendation could be made on the basis of compensation to be received, rather than on a client or prospective client’s best interests.</w:t>
      </w:r>
    </w:p>
    <w:p>
      <w:pPr>
        <w:spacing w:after="0" w:before="0" w:line="240"/>
      </w:pPr>
      <w:r>
        <w:rPr>
          <w:sz w:val="32"/>
          <w:szCs w:val="32"/>
        </w:rPr>
        <w:t xml:space="preserve"/>
      </w:r>
    </w:p>
    <w:p>
      <w:pPr>
        <w:pBdr>
          <w:bottom w:val="single" w:color="5b6a71" w:sz="6" w:space="1"/>
        </w:pBdr>
        <w:spacing w:after="80" w:before="80"/>
      </w:pPr>
    </w:p>
    <w:p>
      <w:pPr>
        <w:spacing w:after="120" w:before="240"/>
      </w:pPr>
      <w:r>
        <w:rPr>
          <w:rFonts w:ascii="Georgia" w:cs="Georgia" w:eastAsia="Georgia" w:hAnsi="Georgia"/>
          <w:b/>
          <w:bCs/>
          <w:color w:val="333333"/>
          <w:sz w:val="32"/>
          <w:szCs w:val="32"/>
        </w:rPr>
        <w:t xml:space="preserve">Item 6   Supervision</w:t>
      </w:r>
    </w:p>
    <w:p>
      <w:pPr>
        <w:pBdr>
          <w:bottom w:val="single" w:color="5b6a71" w:sz="6" w:space="1"/>
        </w:pBdr>
        <w:spacing w:after="80" w:before="80"/>
      </w:pP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The Registrant provides investment advisory and supervisory services in accordance with the Registrant’s </w:t>
      </w:r>
      <w:r>
        <w:rPr>
          <w:rFonts w:ascii="Georgia" w:cs="Georgia" w:eastAsia="Georgia" w:hAnsi="Georgia"/>
          <w:b/>
          <w:bCs/>
          <w:color w:val="333333"/>
          <w:sz w:val="22"/>
          <w:szCs w:val="22"/>
        </w:rPr>
        <w:t xml:space="preserve">policies and procedures manual</w:t>
      </w:r>
      <w:r>
        <w:rPr>
          <w:rFonts w:ascii="Georgia" w:cs="Georgia" w:eastAsia="Georgia" w:hAnsi="Georgia"/>
          <w:color w:val="333333"/>
          <w:sz w:val="22"/>
          <w:szCs w:val="22"/>
        </w:rPr>
        <w:t xml:space="preserve">. The primary purpose of the Registrant’s Rule 206(4)-7 policies and procedures is to comply with the supervision requirements of Section 203(e)(6) of the Investment Advisers Act of 1940 (the “Act”).</w:t>
      </w: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The Registrant’s Chief Compliance Officer, </w:t>
      </w:r>
      <w:r>
        <w:rPr>
          <w:rFonts w:ascii="Georgia" w:cs="Georgia" w:eastAsia="Georgia" w:hAnsi="Georgia"/>
          <w:b/>
          <w:bCs/>
          <w:color w:val="333333"/>
          <w:sz w:val="22"/>
          <w:szCs w:val="22"/>
        </w:rPr>
        <w:t xml:space="preserve">Christopher Powers</w:t>
      </w:r>
      <w:r>
        <w:rPr>
          <w:rFonts w:ascii="Georgia" w:cs="Georgia" w:eastAsia="Georgia" w:hAnsi="Georgia"/>
          <w:color w:val="333333"/>
          <w:sz w:val="22"/>
          <w:szCs w:val="22"/>
        </w:rPr>
        <w:t xml:space="preserve">, is primarily responsible for the implementation of the Registrant’s policies and procedures and overseeing the activities of the Registrant’s supervised persons.</w:t>
      </w: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Should an employee, independent contractor, investment adviser representative, or promoter of the Registrant have any questions regarding the applicability/relevance of the Act, the Rules thereunder, any section thereof, or any section of the policies and procedures, he/she should address those questions with the Chief Compliance Officer.</w:t>
      </w:r>
    </w:p>
    <w:p>
      <w:pPr>
        <w:spacing w:after="0" w:before="0" w:line="240"/>
      </w:pPr>
      <w:r>
        <w:rPr>
          <w:sz w:val="12"/>
          <w:szCs w:val="12"/>
        </w:rPr>
        <w:t xml:space="preserve"/>
      </w:r>
    </w:p>
    <w:p>
      <w:pPr>
        <w:spacing w:after="60" w:before="60" w:line="300"/>
      </w:pPr>
      <w:r>
        <w:rPr>
          <w:rFonts w:ascii="Georgia" w:cs="Georgia" w:eastAsia="Georgia" w:hAnsi="Georgia"/>
          <w:color w:val="333333"/>
          <w:sz w:val="22"/>
          <w:szCs w:val="22"/>
        </w:rPr>
        <w:t xml:space="preserve">Should a client have any questions regarding the Registrant’s supervision or compliance practices, please contact </w:t>
      </w:r>
      <w:r>
        <w:rPr>
          <w:rFonts w:ascii="Georgia" w:cs="Georgia" w:eastAsia="Georgia" w:hAnsi="Georgia"/>
          <w:b/>
          <w:bCs/>
          <w:color w:val="333333"/>
          <w:sz w:val="22"/>
          <w:szCs w:val="22"/>
        </w:rPr>
        <w:t xml:space="preserve">Mr. Powers at (415) 827-7371</w:t>
      </w:r>
      <w:r>
        <w:rPr>
          <w:rFonts w:ascii="Georgia" w:cs="Georgia" w:eastAsia="Georgia" w:hAnsi="Georgia"/>
          <w:color w:val="333333"/>
          <w:sz w:val="22"/>
          <w:szCs w:val="22"/>
        </w:rPr>
        <w:t xml:space="preserve">.</w:t>
      </w:r>
    </w:p>
    <w:p>
      <w:pPr>
        <w:spacing w:after="0" w:before="0" w:line="240"/>
      </w:pPr>
      <w:r>
        <w:rPr>
          <w:sz w:val="48"/>
          <w:szCs w:val="48"/>
        </w:rPr>
        <w:t xml:space="preserve"/>
      </w:r>
    </w:p>
    <w:p>
      <w:pPr>
        <w:pBdr>
          <w:bottom w:val="single" w:color="5b6a71" w:sz="6" w:space="1"/>
        </w:pBdr>
        <w:spacing w:after="80" w:before="80"/>
      </w:pPr>
    </w:p>
    <w:p>
      <w:pPr>
        <w:spacing w:after="0" w:before="0" w:line="240"/>
      </w:pPr>
      <w:r>
        <w:rPr>
          <w:sz w:val="20"/>
          <w:szCs w:val="20"/>
        </w:rPr>
        <w:t xml:space="preserve"/>
      </w:r>
    </w:p>
    <w:p>
      <w:pPr>
        <w:spacing w:after="40" w:before="40"/>
        <w:jc w:val="center"/>
      </w:pPr>
      <w:r>
        <w:rPr>
          <w:rFonts w:ascii="Georgia" w:cs="Georgia" w:eastAsia="Georgia" w:hAnsi="Georgia"/>
          <w:b/>
          <w:bCs/>
          <w:color w:val="333333"/>
          <w:sz w:val="20"/>
          <w:szCs w:val="20"/>
        </w:rPr>
        <w:t xml:space="preserve">Brochure Supplement Prepared By:</w:t>
      </w:r>
    </w:p>
    <w:p>
      <w:pPr>
        <w:spacing w:after="20" w:before="20"/>
        <w:jc w:val="center"/>
      </w:pPr>
      <w:r>
        <w:rPr>
          <w:rFonts w:ascii="Georgia" w:cs="Georgia" w:eastAsia="Georgia" w:hAnsi="Georgia"/>
          <w:color w:val="5b6a71"/>
          <w:sz w:val="20"/>
          <w:szCs w:val="20"/>
        </w:rPr>
        <w:t xml:space="preserve">Farther Finance Advisors, LLC — Compliance Department</w:t>
      </w:r>
    </w:p>
    <w:p>
      <w:pPr>
        <w:spacing w:after="20" w:before="20"/>
        <w:jc w:val="center"/>
      </w:pPr>
      <w:r>
        <w:rPr>
          <w:rFonts w:ascii="Georgia" w:cs="Georgia" w:eastAsia="Georgia" w:hAnsi="Georgia"/>
          <w:color w:val="5b6a71"/>
          <w:sz w:val="20"/>
          <w:szCs w:val="20"/>
        </w:rPr>
        <w:t xml:space="preserve">Date: September 10, 2024</w:t>
      </w:r>
    </w:p>
    <w:p>
      <w:pPr>
        <w:spacing w:after="20" w:before="20"/>
        <w:jc w:val="center"/>
      </w:pPr>
      <w:r>
        <w:rPr>
          <w:rFonts w:ascii="Georgia" w:cs="Georgia" w:eastAsia="Georgia" w:hAnsi="Georgia"/>
          <w:color w:val="5b6a71"/>
          <w:sz w:val="20"/>
          <w:szCs w:val="20"/>
        </w:rPr>
        <w:t xml:space="preserve">Status: Final</w:t>
      </w:r>
    </w:p>
    <w:p>
      <w:pPr>
        <w:spacing w:after="0" w:before="0" w:line="240"/>
      </w:pPr>
      <w:r>
        <w:rPr>
          <w:sz w:val="20"/>
          <w:szCs w:val="20"/>
        </w:rPr>
        <w:t xml:space="preserve"/>
      </w:r>
    </w:p>
    <w:p>
      <w:pPr>
        <w:pBdr>
          <w:bottom w:val="single" w:color="b6d0ed" w:sz="4" w:space="1"/>
        </w:pBdr>
        <w:spacing w:after="80" w:before="80"/>
      </w:pPr>
    </w:p>
    <w:p>
      <w:pPr>
        <w:spacing w:after="0" w:before="0" w:line="240"/>
      </w:pPr>
      <w:r>
        <w:rPr>
          <w:sz w:val="12"/>
          <w:szCs w:val="12"/>
        </w:rPr>
        <w:t xml:space="preserve"/>
      </w:r>
    </w:p>
    <w:p>
      <w:pPr>
        <w:spacing w:after="20" w:before="40"/>
        <w:jc w:val="center"/>
      </w:pPr>
      <w:r>
        <w:rPr>
          <w:rFonts w:ascii="Georgia" w:cs="Georgia" w:eastAsia="Georgia" w:hAnsi="Georgia"/>
          <w:b/>
          <w:bCs/>
          <w:color w:val="1d7682"/>
          <w:sz w:val="20"/>
          <w:szCs w:val="20"/>
        </w:rPr>
        <w:t xml:space="preserve">For Questions or Additional Information:</w:t>
      </w:r>
    </w:p>
    <w:p>
      <w:pPr>
        <w:spacing w:after="20" w:before="20"/>
        <w:jc w:val="center"/>
      </w:pPr>
      <w:r>
        <w:rPr>
          <w:rFonts w:ascii="Georgia" w:cs="Georgia" w:eastAsia="Georgia" w:hAnsi="Georgia"/>
          <w:color w:val="333333"/>
          <w:sz w:val="20"/>
          <w:szCs w:val="20"/>
        </w:rPr>
        <w:t xml:space="preserve">Christopher Powers, Chief Compliance Officer</w:t>
      </w:r>
    </w:p>
    <w:p>
      <w:pPr>
        <w:spacing w:after="20" w:before="20"/>
        <w:jc w:val="center"/>
      </w:pPr>
      <w:r>
        <w:rPr>
          <w:rFonts w:ascii="Georgia" w:cs="Georgia" w:eastAsia="Georgia" w:hAnsi="Georgia"/>
          <w:color w:val="1d7682"/>
          <w:sz w:val="20"/>
          <w:szCs w:val="20"/>
        </w:rPr>
        <w:t xml:space="preserve">(415) 827-7371  |  www.farther.com</w:t>
      </w:r>
    </w:p>
    <w:p>
      <w:pPr>
        <w:spacing w:after="20" w:before="20"/>
        <w:jc w:val="center"/>
      </w:pPr>
      <w:r>
        <w:rPr>
          <w:rFonts w:ascii="Georgia" w:cs="Georgia" w:eastAsia="Georgia" w:hAnsi="Georgia"/>
          <w:color w:val="5b6a71"/>
          <w:sz w:val="18"/>
          <w:szCs w:val="18"/>
        </w:rPr>
        <w:t xml:space="preserve">Additional information about Robert S. Davenport is available at www.adviserinfo.sec.gov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6d0ed" w:sz="4" w:space="4"/>
      </w:pBdr>
      <w:spacing w:after="0" w:before="80"/>
      <w:jc w:val="center"/>
    </w:pPr>
    <w:r>
      <w:rPr>
        <w:rFonts w:ascii="Georgia" w:cs="Georgia" w:eastAsia="Georgia" w:hAnsi="Georgia"/>
        <w:color w:val="5b6a71"/>
        <w:sz w:val="16"/>
        <w:szCs w:val="16"/>
      </w:rPr>
      <w:t xml:space="preserve">Brochure Supplement  •  Page </w:t>
    </w:r>
    <w:r>
      <w:rPr>
        <w:rFonts w:ascii="Georgia" w:cs="Georgia" w:eastAsia="Georgia" w:hAnsi="Georgia"/>
        <w:color w:val="5b6a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d0ed" w:sz="4" w:space="4"/>
      </w:pBdr>
      <w:spacing w:after="80" w:before="0"/>
      <w:jc w:val="right"/>
    </w:pPr>
    <w:r>
      <w:rPr>
        <w:rFonts w:ascii="Georgia" w:cs="Georgia" w:eastAsia="Georgia" w:hAnsi="Georgia"/>
        <w:color w:val="333333"/>
        <w:spacing w:val="40"/>
        <w:sz w:val="18"/>
        <w:szCs w:val="18"/>
      </w:rPr>
      <w:t xml:space="preserve">FARTHER COMPLIANCE</w:t>
    </w:r>
    <w:r>
      <w:rPr>
        <w:rFonts w:ascii="Georgia" w:cs="Georgia" w:eastAsia="Georgia" w:hAnsi="Georgia"/>
        <w:color w:val="b6d0ed"/>
        <w:sz w:val="18"/>
        <w:szCs w:val="18"/>
      </w:rPr>
      <w:t xml:space="preserve">  |  </w:t>
    </w:r>
    <w:r>
      <w:rPr>
        <w:rFonts w:ascii="Georgia" w:cs="Georgia" w:eastAsia="Georgia" w:hAnsi="Georgia"/>
        <w:color w:val="5b6a71"/>
        <w:sz w:val="18"/>
        <w:szCs w:val="18"/>
      </w:rPr>
      <w:t xml:space="preserve">ADV Part 2B – Robert S. Davenport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2026-03-15T04:06:07.536Z</dcterms:created>
  <dcterms:modified xsi:type="dcterms:W3CDTF">2026-03-15T04:06:07.537Z</dcterms:modified>
</cp:coreProperties>
</file>

<file path=docProps/custom.xml><?xml version="1.0" encoding="utf-8"?>
<Properties xmlns="http://schemas.openxmlformats.org/officeDocument/2006/custom-properties" xmlns:vt="http://schemas.openxmlformats.org/officeDocument/2006/docPropsVTypes"/>
</file>