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рассмотрение некоторых простейший моделей боевый действий, а именно модели Ланчестера. В борьбе могут принимать участия регулярные и партизанские отряды. В таком случае главной характеристикой будет учитываться численность войск. Если численность войск станет равной нулу, то данная сторона будет являться проигравшей ( при условии, что у другой стороны остались войска) 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Изучение трех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Теоритический вывод уравнений для построения графика</w:t>
      </w:r>
    </w:p>
    <w:p>
      <w:pPr>
        <w:numPr>
          <w:ilvl w:val="0"/>
          <w:numId w:val="1001"/>
        </w:numPr>
        <w:pStyle w:val="Compact"/>
      </w:pPr>
      <w:r>
        <w:t xml:space="preserve">Построение графиков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Определение стороны победившей в ходе битвы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В случае модели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*Потери,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*В случае сражения между регулярными войсками и партизанскими отряды. Партизанские отряды в сравнение с регулярными менее уязвимы, так как действуют скрытно</w:t>
      </w:r>
      <w:r>
        <w:t xml:space="preserve"> </w:t>
      </w:r>
      <w:r>
        <w:t xml:space="preserve">В таком случае, сопернику прийдется действовать неизбирательно, по площадям, занимаемым партизанами.</w:t>
      </w:r>
      <w:r>
        <w:t xml:space="preserve"> </w:t>
      </w:r>
      <w:r>
        <w:t xml:space="preserve">Поэтому можно сделать вывод, что темп потерь партизан, проводящих свои операции в разных местах на некоторой известной территории, вдобавок пропорционален численности самих партизан.</w:t>
      </w:r>
    </w:p>
    <w:bookmarkEnd w:id="24"/>
    <w:bookmarkStart w:id="25" w:name="X261247baea364add659ec6aab82d57be844c4e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отрядами:</w:t>
      </w:r>
    </w:p>
    <w:p>
      <w:pPr>
        <w:pStyle w:val="FirstParagraph"/>
      </w:pPr>
      <w:r>
        <w:t xml:space="preserve">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83a15af579fa9ac0cb32a551b882fe97141978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отрядами: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*В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, также это работает и в обратную сторону.</w:t>
      </w:r>
      <w:r>
        <w:t xml:space="preserve"> </w:t>
      </w:r>
      <w:r>
        <w:t xml:space="preserve">Также не учитываются потери, не 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30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9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Жесткая модель войны</w:t>
      </w:r>
    </w:p>
    <w:bookmarkEnd w:id="30"/>
    <w:bookmarkStart w:id="31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31"/>
    <w:bookmarkStart w:id="32" w:name="расс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2"/>
    <w:bookmarkStart w:id="35" w:name="фазовые-траектории-для-второго-случая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Фазовые траектории для второго случая</w:t>
      </w:r>
    </w:p>
    <w:p>
      <w:pPr>
        <w:pStyle w:val="CaptionedFigure"/>
      </w:pPr>
      <w:bookmarkStart w:id="34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5"/>
    <w:bookmarkStart w:id="36" w:name="задач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Условие: 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882000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747000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6"/>
    <w:bookmarkStart w:id="39" w:name="Xad2cb2e91a9c612dae6f93eeb5019db56a6ff08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№1.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2" w:name="Xd3532732049124a2fefbb95ae0940d2e9b64dcc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№2.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2"/>
    <w:bookmarkStart w:id="43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c(start=0.77);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sin(3*time)+1;</w:t>
      </w:r>
      <w:r>
        <w:br/>
      </w:r>
      <w:r>
        <w:rPr>
          <w:rStyle w:val="VerbatimChar"/>
        </w:rPr>
        <w:t xml:space="preserve">    der(y2)= -c*y1-h*y2 + cos(2*time)+2;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a(start=0.24);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c(start=0.47);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abs(sin(2*time));</w:t>
      </w:r>
      <w:r>
        <w:br/>
      </w:r>
      <w:r>
        <w:rPr>
          <w:rStyle w:val="VerbatimChar"/>
        </w:rPr>
        <w:t xml:space="preserve">    der(y2)= -c*y1*y2-h*y2 + abs(cos(2*time));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Изучили и проверили, как работает модель в различных ситуациях и трех случаях численности и состава войск.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Миша Нкого Хосе Адольфо Мба НФИбд-02-19</dc:creator>
  <dc:language>ru-RU</dc:language>
  <cp:keywords/>
  <dcterms:created xsi:type="dcterms:W3CDTF">2022-02-25T16:42:44Z</dcterms:created>
  <dcterms:modified xsi:type="dcterms:W3CDTF">2022-02-25T16:42:44Z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