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CB982" w14:textId="6EB76E77" w:rsidR="00BF3716" w:rsidRPr="006E5AAF" w:rsidRDefault="00BF3716" w:rsidP="00DC7DD3">
      <w:pPr>
        <w:spacing w:after="0"/>
        <w:rPr>
          <w:b/>
        </w:rPr>
      </w:pPr>
      <w:bookmarkStart w:id="0" w:name="_GoBack"/>
      <w:bookmarkEnd w:id="0"/>
      <w:r w:rsidRPr="006E5AAF">
        <w:rPr>
          <w:b/>
        </w:rPr>
        <w:t xml:space="preserve">Top 15 counties that received the </w:t>
      </w:r>
      <w:r w:rsidR="006E5AAF">
        <w:rPr>
          <w:b/>
        </w:rPr>
        <w:t>highest</w:t>
      </w:r>
      <w:r w:rsidRPr="006E5AAF">
        <w:rPr>
          <w:b/>
        </w:rPr>
        <w:t xml:space="preserve"> number of payments </w:t>
      </w:r>
      <w:r w:rsidR="006E5AAF">
        <w:rPr>
          <w:b/>
        </w:rPr>
        <w:t>between</w:t>
      </w:r>
      <w:r w:rsidRPr="006E5AAF">
        <w:rPr>
          <w:b/>
        </w:rPr>
        <w:t xml:space="preserve"> August 2013</w:t>
      </w:r>
      <w:r w:rsidR="006E5AAF" w:rsidRPr="006E5AAF">
        <w:rPr>
          <w:b/>
        </w:rPr>
        <w:t xml:space="preserve"> </w:t>
      </w:r>
      <w:r w:rsidRPr="006E5AAF">
        <w:rPr>
          <w:b/>
        </w:rPr>
        <w:t>- December 2015</w:t>
      </w:r>
      <w:r w:rsidR="006E5AAF">
        <w:rPr>
          <w:b/>
        </w:rPr>
        <w:t xml:space="preserve"> (adjusted per capita):</w:t>
      </w:r>
    </w:p>
    <w:p w14:paraId="2ED4AF30" w14:textId="77777777" w:rsidR="00616A82" w:rsidRDefault="00616A82" w:rsidP="00DC7DD3">
      <w:pPr>
        <w:pStyle w:val="ListParagraph"/>
        <w:numPr>
          <w:ilvl w:val="0"/>
          <w:numId w:val="1"/>
        </w:numPr>
        <w:spacing w:after="0"/>
        <w:sectPr w:rsidR="00616A82">
          <w:pgSz w:w="12240" w:h="15840"/>
          <w:pgMar w:top="1440" w:right="1440" w:bottom="1440" w:left="1440" w:header="720" w:footer="720" w:gutter="0"/>
          <w:cols w:space="720"/>
          <w:docGrid w:linePitch="360"/>
        </w:sectPr>
      </w:pPr>
    </w:p>
    <w:p w14:paraId="21B57B02" w14:textId="13729BEE" w:rsidR="00BF3716" w:rsidRDefault="00BF3716" w:rsidP="00DC7DD3">
      <w:pPr>
        <w:pStyle w:val="ListParagraph"/>
        <w:numPr>
          <w:ilvl w:val="0"/>
          <w:numId w:val="1"/>
        </w:numPr>
        <w:spacing w:after="0"/>
      </w:pPr>
      <w:r>
        <w:t xml:space="preserve">Salem </w:t>
      </w:r>
      <w:r w:rsidR="006E5AAF">
        <w:t>C</w:t>
      </w:r>
      <w:r>
        <w:t>ity, Virginia</w:t>
      </w:r>
    </w:p>
    <w:p w14:paraId="4A3CB9D8" w14:textId="410E4FB8" w:rsidR="00BF3716" w:rsidRDefault="00BF3716" w:rsidP="00DC7DD3">
      <w:pPr>
        <w:pStyle w:val="ListParagraph"/>
        <w:numPr>
          <w:ilvl w:val="0"/>
          <w:numId w:val="1"/>
        </w:numPr>
        <w:spacing w:after="0"/>
      </w:pPr>
      <w:r>
        <w:t xml:space="preserve">Winchester </w:t>
      </w:r>
      <w:r w:rsidR="006E5AAF">
        <w:t>C</w:t>
      </w:r>
      <w:r>
        <w:t>ity, Virginia</w:t>
      </w:r>
    </w:p>
    <w:p w14:paraId="16B25D33" w14:textId="77777777" w:rsidR="00BF3716" w:rsidRDefault="00BF3716" w:rsidP="00DC7DD3">
      <w:pPr>
        <w:pStyle w:val="ListParagraph"/>
        <w:numPr>
          <w:ilvl w:val="0"/>
          <w:numId w:val="1"/>
        </w:numPr>
        <w:spacing w:after="0"/>
      </w:pPr>
      <w:r>
        <w:t>Cabell County, West Virginia</w:t>
      </w:r>
    </w:p>
    <w:p w14:paraId="53AE3D2D" w14:textId="77777777" w:rsidR="00BF3716" w:rsidRDefault="00BF3716" w:rsidP="00DC7DD3">
      <w:pPr>
        <w:pStyle w:val="ListParagraph"/>
        <w:numPr>
          <w:ilvl w:val="0"/>
          <w:numId w:val="1"/>
        </w:numPr>
        <w:spacing w:after="0"/>
      </w:pPr>
      <w:r>
        <w:t>Emmet County, Michigan</w:t>
      </w:r>
    </w:p>
    <w:p w14:paraId="5E6DC468" w14:textId="77777777" w:rsidR="00BF3716" w:rsidRDefault="00BF3716" w:rsidP="00DC7DD3">
      <w:pPr>
        <w:pStyle w:val="ListParagraph"/>
        <w:numPr>
          <w:ilvl w:val="0"/>
          <w:numId w:val="1"/>
        </w:numPr>
        <w:spacing w:after="0"/>
      </w:pPr>
      <w:r>
        <w:t>Humboldt County, Iowa</w:t>
      </w:r>
    </w:p>
    <w:p w14:paraId="3414BA8D" w14:textId="77777777" w:rsidR="00BF3716" w:rsidRDefault="00BF3716" w:rsidP="00DC7DD3">
      <w:pPr>
        <w:pStyle w:val="ListParagraph"/>
        <w:numPr>
          <w:ilvl w:val="0"/>
          <w:numId w:val="1"/>
        </w:numPr>
        <w:spacing w:after="0"/>
      </w:pPr>
      <w:r>
        <w:t>McCracken County, Kentucky</w:t>
      </w:r>
    </w:p>
    <w:p w14:paraId="1A4574DD" w14:textId="6758D483" w:rsidR="00BF3716" w:rsidRDefault="00BF3716" w:rsidP="00DC7DD3">
      <w:pPr>
        <w:pStyle w:val="ListParagraph"/>
        <w:numPr>
          <w:ilvl w:val="0"/>
          <w:numId w:val="1"/>
        </w:numPr>
        <w:spacing w:after="0"/>
      </w:pPr>
      <w:r>
        <w:t xml:space="preserve">Norton </w:t>
      </w:r>
      <w:r w:rsidR="006E5AAF">
        <w:t>C</w:t>
      </w:r>
      <w:r>
        <w:t>ity, Virginia</w:t>
      </w:r>
    </w:p>
    <w:p w14:paraId="75A0FA41" w14:textId="77777777" w:rsidR="00BF3716" w:rsidRDefault="00BF3716" w:rsidP="00DC7DD3">
      <w:pPr>
        <w:pStyle w:val="ListParagraph"/>
        <w:numPr>
          <w:ilvl w:val="0"/>
          <w:numId w:val="1"/>
        </w:numPr>
        <w:spacing w:after="0"/>
      </w:pPr>
      <w:r>
        <w:t>Hertford County, North Carolina</w:t>
      </w:r>
    </w:p>
    <w:p w14:paraId="3BAD83C1" w14:textId="77777777" w:rsidR="00BF3716" w:rsidRDefault="00BF3716" w:rsidP="00DC7DD3">
      <w:pPr>
        <w:pStyle w:val="ListParagraph"/>
        <w:numPr>
          <w:ilvl w:val="0"/>
          <w:numId w:val="1"/>
        </w:numPr>
        <w:spacing w:after="0"/>
      </w:pPr>
      <w:r>
        <w:t>Oneida County, New York</w:t>
      </w:r>
    </w:p>
    <w:p w14:paraId="0AA44B93" w14:textId="77777777" w:rsidR="00BF3716" w:rsidRDefault="00BF3716" w:rsidP="00DC7DD3">
      <w:pPr>
        <w:pStyle w:val="ListParagraph"/>
        <w:numPr>
          <w:ilvl w:val="0"/>
          <w:numId w:val="1"/>
        </w:numPr>
        <w:spacing w:after="0"/>
      </w:pPr>
      <w:r>
        <w:t>Erie County, Ohio</w:t>
      </w:r>
    </w:p>
    <w:p w14:paraId="5BF3EC51" w14:textId="77777777" w:rsidR="00BF3716" w:rsidRDefault="00BF3716" w:rsidP="00DC7DD3">
      <w:pPr>
        <w:pStyle w:val="ListParagraph"/>
        <w:numPr>
          <w:ilvl w:val="0"/>
          <w:numId w:val="1"/>
        </w:numPr>
        <w:spacing w:after="0"/>
      </w:pPr>
      <w:r>
        <w:t>Lackawanna County, Pennsylvania</w:t>
      </w:r>
    </w:p>
    <w:p w14:paraId="37BDB5D2" w14:textId="77777777" w:rsidR="00BF3716" w:rsidRDefault="00BF3716" w:rsidP="00DC7DD3">
      <w:pPr>
        <w:pStyle w:val="ListParagraph"/>
        <w:numPr>
          <w:ilvl w:val="0"/>
          <w:numId w:val="1"/>
        </w:numPr>
        <w:spacing w:after="0"/>
      </w:pPr>
      <w:r>
        <w:t>Brooke County, West Virginia</w:t>
      </w:r>
    </w:p>
    <w:p w14:paraId="03F4FD54" w14:textId="77777777" w:rsidR="00BF3716" w:rsidRDefault="00BF3716" w:rsidP="00DC7DD3">
      <w:pPr>
        <w:pStyle w:val="ListParagraph"/>
        <w:numPr>
          <w:ilvl w:val="0"/>
          <w:numId w:val="1"/>
        </w:numPr>
        <w:spacing w:after="0"/>
      </w:pPr>
      <w:r>
        <w:t>Warrick County, Indiana</w:t>
      </w:r>
    </w:p>
    <w:p w14:paraId="68A7304B" w14:textId="77777777" w:rsidR="00BF3716" w:rsidRDefault="00BF3716" w:rsidP="00DC7DD3">
      <w:pPr>
        <w:pStyle w:val="ListParagraph"/>
        <w:numPr>
          <w:ilvl w:val="0"/>
          <w:numId w:val="1"/>
        </w:numPr>
        <w:spacing w:after="0"/>
      </w:pPr>
      <w:r>
        <w:t>Martinsville city, Virginia</w:t>
      </w:r>
    </w:p>
    <w:p w14:paraId="70F49099" w14:textId="77777777" w:rsidR="00BF3716" w:rsidRDefault="00BF3716" w:rsidP="00DC7DD3">
      <w:pPr>
        <w:pStyle w:val="ListParagraph"/>
        <w:numPr>
          <w:ilvl w:val="0"/>
          <w:numId w:val="1"/>
        </w:numPr>
        <w:spacing w:after="0"/>
      </w:pPr>
      <w:r>
        <w:t>Adair County, Missouri</w:t>
      </w:r>
    </w:p>
    <w:p w14:paraId="41CDEE08" w14:textId="77777777" w:rsidR="00616A82" w:rsidRDefault="00616A82" w:rsidP="00AA0CEB">
      <w:pPr>
        <w:spacing w:after="0"/>
        <w:sectPr w:rsidR="00616A82" w:rsidSect="00616A82">
          <w:type w:val="continuous"/>
          <w:pgSz w:w="12240" w:h="15840"/>
          <w:pgMar w:top="1440" w:right="1440" w:bottom="1440" w:left="1440" w:header="720" w:footer="720" w:gutter="0"/>
          <w:cols w:num="2" w:space="720"/>
          <w:docGrid w:linePitch="360"/>
        </w:sectPr>
      </w:pPr>
    </w:p>
    <w:p w14:paraId="715C383D" w14:textId="305180FB" w:rsidR="00AA0CEB" w:rsidRDefault="00AA0CEB" w:rsidP="00AA0CEB">
      <w:pPr>
        <w:spacing w:after="0"/>
      </w:pPr>
    </w:p>
    <w:p w14:paraId="69E8F48B" w14:textId="77777777" w:rsidR="006E5AAF" w:rsidRDefault="006E5AAF" w:rsidP="006E5AAF">
      <w:pPr>
        <w:spacing w:after="0"/>
        <w:rPr>
          <w:b/>
        </w:rPr>
      </w:pPr>
      <w:r>
        <w:rPr>
          <w:b/>
        </w:rPr>
        <w:t xml:space="preserve">Examples of </w:t>
      </w:r>
      <w:r w:rsidR="00CB6651" w:rsidRPr="006E5AAF">
        <w:rPr>
          <w:b/>
        </w:rPr>
        <w:t>10 counties with high number</w:t>
      </w:r>
      <w:r>
        <w:rPr>
          <w:b/>
        </w:rPr>
        <w:t>s</w:t>
      </w:r>
      <w:r w:rsidR="00CB6651" w:rsidRPr="006E5AAF">
        <w:rPr>
          <w:b/>
        </w:rPr>
        <w:t xml:space="preserve"> of </w:t>
      </w:r>
      <w:r>
        <w:rPr>
          <w:b/>
        </w:rPr>
        <w:t>payments as well as a high burden of prescription opioid overdoses:</w:t>
      </w:r>
    </w:p>
    <w:p w14:paraId="4A634BB4" w14:textId="77777777" w:rsidR="00616A82" w:rsidRDefault="00616A82" w:rsidP="006E5AAF">
      <w:pPr>
        <w:pStyle w:val="ListParagraph"/>
        <w:numPr>
          <w:ilvl w:val="0"/>
          <w:numId w:val="11"/>
        </w:numPr>
        <w:spacing w:after="0"/>
        <w:sectPr w:rsidR="00616A82" w:rsidSect="00616A82">
          <w:type w:val="continuous"/>
          <w:pgSz w:w="12240" w:h="15840"/>
          <w:pgMar w:top="1440" w:right="1440" w:bottom="1440" w:left="1440" w:header="720" w:footer="720" w:gutter="0"/>
          <w:cols w:space="720"/>
          <w:docGrid w:linePitch="360"/>
        </w:sectPr>
      </w:pPr>
    </w:p>
    <w:p w14:paraId="2AD009E4" w14:textId="14318260" w:rsidR="006E5AAF" w:rsidRDefault="006E5AAF" w:rsidP="006E5AAF">
      <w:pPr>
        <w:pStyle w:val="ListParagraph"/>
        <w:numPr>
          <w:ilvl w:val="0"/>
          <w:numId w:val="11"/>
        </w:numPr>
        <w:spacing w:after="0"/>
      </w:pPr>
      <w:r>
        <w:t>Salem City, Virginia</w:t>
      </w:r>
    </w:p>
    <w:p w14:paraId="7024935B" w14:textId="49782469" w:rsidR="00CB6651" w:rsidRDefault="00CB6651" w:rsidP="00CB6651">
      <w:pPr>
        <w:pStyle w:val="ListParagraph"/>
        <w:numPr>
          <w:ilvl w:val="0"/>
          <w:numId w:val="11"/>
        </w:numPr>
        <w:spacing w:after="0"/>
      </w:pPr>
      <w:r>
        <w:t xml:space="preserve">Winchester </w:t>
      </w:r>
      <w:r w:rsidR="006E5AAF">
        <w:t>C</w:t>
      </w:r>
      <w:r>
        <w:t>ity, Virginia</w:t>
      </w:r>
    </w:p>
    <w:p w14:paraId="4635F774" w14:textId="77777777" w:rsidR="00CB6651" w:rsidRDefault="00CB6651" w:rsidP="00CB6651">
      <w:pPr>
        <w:pStyle w:val="ListParagraph"/>
        <w:numPr>
          <w:ilvl w:val="0"/>
          <w:numId w:val="11"/>
        </w:numPr>
        <w:spacing w:after="0"/>
      </w:pPr>
      <w:r>
        <w:t>Cabell County, West Virginia</w:t>
      </w:r>
    </w:p>
    <w:p w14:paraId="1F62FE7A" w14:textId="700E208E" w:rsidR="00CB6651" w:rsidRDefault="00CB6651" w:rsidP="00CB6651">
      <w:pPr>
        <w:pStyle w:val="ListParagraph"/>
        <w:numPr>
          <w:ilvl w:val="0"/>
          <w:numId w:val="11"/>
        </w:numPr>
        <w:spacing w:after="0"/>
      </w:pPr>
      <w:r>
        <w:t xml:space="preserve">Norton </w:t>
      </w:r>
      <w:r w:rsidR="006E5AAF">
        <w:t>C</w:t>
      </w:r>
      <w:r>
        <w:t>ity, Virginia</w:t>
      </w:r>
    </w:p>
    <w:p w14:paraId="33C93FED" w14:textId="77777777" w:rsidR="00CB6651" w:rsidRDefault="00CB6651" w:rsidP="00CB6651">
      <w:pPr>
        <w:pStyle w:val="ListParagraph"/>
        <w:numPr>
          <w:ilvl w:val="0"/>
          <w:numId w:val="11"/>
        </w:numPr>
        <w:spacing w:after="0"/>
      </w:pPr>
      <w:r>
        <w:t>Erie County, Ohio</w:t>
      </w:r>
    </w:p>
    <w:p w14:paraId="4AA62404" w14:textId="77777777" w:rsidR="00CB6651" w:rsidRDefault="00CB6651" w:rsidP="00CB6651">
      <w:pPr>
        <w:pStyle w:val="ListParagraph"/>
        <w:numPr>
          <w:ilvl w:val="0"/>
          <w:numId w:val="11"/>
        </w:numPr>
        <w:spacing w:after="0"/>
      </w:pPr>
      <w:r>
        <w:t>Lackawanna County, Pennsylvania</w:t>
      </w:r>
    </w:p>
    <w:p w14:paraId="62C07AC7" w14:textId="77777777" w:rsidR="00CB6651" w:rsidRDefault="00CB6651" w:rsidP="00CB6651">
      <w:pPr>
        <w:pStyle w:val="ListParagraph"/>
        <w:numPr>
          <w:ilvl w:val="0"/>
          <w:numId w:val="11"/>
        </w:numPr>
        <w:spacing w:after="0"/>
      </w:pPr>
      <w:r>
        <w:t>Brooke County, West Virginia</w:t>
      </w:r>
    </w:p>
    <w:p w14:paraId="0D330F85" w14:textId="51931396" w:rsidR="00CB6651" w:rsidRDefault="00CB6651" w:rsidP="00CB6651">
      <w:pPr>
        <w:pStyle w:val="ListParagraph"/>
        <w:numPr>
          <w:ilvl w:val="0"/>
          <w:numId w:val="11"/>
        </w:numPr>
        <w:spacing w:after="0"/>
      </w:pPr>
      <w:r>
        <w:t xml:space="preserve">Fredericksburg </w:t>
      </w:r>
      <w:r w:rsidR="006E5AAF">
        <w:t>C</w:t>
      </w:r>
      <w:r>
        <w:t>ity, Virginia</w:t>
      </w:r>
    </w:p>
    <w:p w14:paraId="7AE71204" w14:textId="77777777" w:rsidR="00CB6651" w:rsidRDefault="00CB6651" w:rsidP="00CB6651">
      <w:pPr>
        <w:pStyle w:val="ListParagraph"/>
        <w:numPr>
          <w:ilvl w:val="0"/>
          <w:numId w:val="11"/>
        </w:numPr>
        <w:spacing w:after="0"/>
      </w:pPr>
      <w:r>
        <w:t>Lucas County, Ohio</w:t>
      </w:r>
    </w:p>
    <w:p w14:paraId="0DAB2635" w14:textId="77777777" w:rsidR="00FA64CD" w:rsidRDefault="00CB6651" w:rsidP="00CB6651">
      <w:pPr>
        <w:pStyle w:val="ListParagraph"/>
        <w:numPr>
          <w:ilvl w:val="0"/>
          <w:numId w:val="11"/>
        </w:numPr>
        <w:spacing w:after="0"/>
      </w:pPr>
      <w:r>
        <w:t>Lawrence County, Pennsylvania</w:t>
      </w:r>
    </w:p>
    <w:p w14:paraId="10397052" w14:textId="77777777" w:rsidR="00616A82" w:rsidRDefault="00616A82" w:rsidP="00CB6651">
      <w:pPr>
        <w:pStyle w:val="ListParagraph"/>
        <w:spacing w:after="0"/>
        <w:sectPr w:rsidR="00616A82" w:rsidSect="00616A82">
          <w:type w:val="continuous"/>
          <w:pgSz w:w="12240" w:h="15840"/>
          <w:pgMar w:top="1440" w:right="1440" w:bottom="1440" w:left="1440" w:header="720" w:footer="720" w:gutter="0"/>
          <w:cols w:num="2" w:space="720"/>
          <w:docGrid w:linePitch="360"/>
        </w:sectPr>
      </w:pPr>
    </w:p>
    <w:p w14:paraId="79E57161" w14:textId="5E5C2662" w:rsidR="00CB6651" w:rsidRDefault="00CB6651" w:rsidP="00CB6651">
      <w:pPr>
        <w:pStyle w:val="ListParagraph"/>
        <w:spacing w:after="0"/>
      </w:pPr>
    </w:p>
    <w:p w14:paraId="70413EAA" w14:textId="706F1B11" w:rsidR="006E6FA1" w:rsidRDefault="00FA64CD" w:rsidP="006751E1">
      <w:pPr>
        <w:spacing w:after="0"/>
      </w:pPr>
      <w:r>
        <w:t xml:space="preserve">The majority of the population </w:t>
      </w:r>
      <w:r w:rsidR="00CB6651">
        <w:t xml:space="preserve">in these counties is </w:t>
      </w:r>
      <w:r w:rsidR="00A74413">
        <w:t xml:space="preserve">white (67% or more). </w:t>
      </w:r>
      <w:r w:rsidR="006751E1">
        <w:t>Excluding Fredericksburg City in Virginia and Lucas County in Ohio, t</w:t>
      </w:r>
      <w:r w:rsidR="00A74413">
        <w:t>hese counties also have a prescribing rate higher than the national average</w:t>
      </w:r>
      <w:r>
        <w:t xml:space="preserve"> (76 per 100 people</w:t>
      </w:r>
      <w:r w:rsidR="006751E1">
        <w:t xml:space="preserve"> in 2016</w:t>
      </w:r>
      <w:r>
        <w:t>)</w:t>
      </w:r>
      <w:r w:rsidR="00A74413">
        <w:t xml:space="preserve">. </w:t>
      </w:r>
      <w:r w:rsidR="006751E1">
        <w:t xml:space="preserve">The majority of the counties are located in metro areas or adjacent to metro areas, as defined per USDA rural urban classification. The only county considered urban population, but not adjacent to a metro area was Norton </w:t>
      </w:r>
      <w:r w:rsidR="0063787E">
        <w:t>C</w:t>
      </w:r>
      <w:r w:rsidR="006751E1">
        <w:t xml:space="preserve">ity, Virginia. </w:t>
      </w:r>
    </w:p>
    <w:p w14:paraId="716E58C1" w14:textId="77777777" w:rsidR="00616A82" w:rsidRDefault="00616A82" w:rsidP="006751E1">
      <w:pPr>
        <w:spacing w:after="0"/>
      </w:pPr>
    </w:p>
    <w:tbl>
      <w:tblPr>
        <w:tblStyle w:val="TableGridLight"/>
        <w:tblW w:w="9897" w:type="dxa"/>
        <w:jc w:val="center"/>
        <w:tblLayout w:type="fixed"/>
        <w:tblLook w:val="04A0" w:firstRow="1" w:lastRow="0" w:firstColumn="1" w:lastColumn="0" w:noHBand="0" w:noVBand="1"/>
      </w:tblPr>
      <w:tblGrid>
        <w:gridCol w:w="3415"/>
        <w:gridCol w:w="2160"/>
        <w:gridCol w:w="2161"/>
        <w:gridCol w:w="2161"/>
      </w:tblGrid>
      <w:tr w:rsidR="00616A82" w:rsidRPr="00CB6651" w14:paraId="3B7D4AB4" w14:textId="77777777" w:rsidTr="00616A82">
        <w:trPr>
          <w:trHeight w:val="256"/>
          <w:jc w:val="center"/>
        </w:trPr>
        <w:tc>
          <w:tcPr>
            <w:tcW w:w="3415" w:type="dxa"/>
            <w:noWrap/>
            <w:vAlign w:val="center"/>
            <w:hideMark/>
          </w:tcPr>
          <w:p w14:paraId="120DEDAE" w14:textId="77777777" w:rsidR="00616A82" w:rsidRPr="00CB6651" w:rsidRDefault="00616A82" w:rsidP="00616A82">
            <w:pPr>
              <w:spacing w:line="240" w:lineRule="auto"/>
              <w:jc w:val="center"/>
              <w:rPr>
                <w:rFonts w:ascii="Calibri" w:eastAsia="Times New Roman" w:hAnsi="Calibri" w:cs="Calibri"/>
                <w:color w:val="000000"/>
              </w:rPr>
            </w:pPr>
            <w:r>
              <w:rPr>
                <w:rFonts w:ascii="Calibri" w:eastAsia="Times New Roman" w:hAnsi="Calibri" w:cs="Calibri"/>
                <w:color w:val="000000"/>
              </w:rPr>
              <w:t>County name</w:t>
            </w:r>
          </w:p>
        </w:tc>
        <w:tc>
          <w:tcPr>
            <w:tcW w:w="2160" w:type="dxa"/>
            <w:noWrap/>
            <w:vAlign w:val="bottom"/>
            <w:hideMark/>
          </w:tcPr>
          <w:p w14:paraId="3B63F1AC" w14:textId="7116958F" w:rsidR="00616A82" w:rsidRPr="00CB6651" w:rsidRDefault="00B74889" w:rsidP="00616A82">
            <w:pPr>
              <w:spacing w:line="240" w:lineRule="auto"/>
              <w:jc w:val="center"/>
              <w:rPr>
                <w:rFonts w:ascii="Calibri" w:eastAsia="Times New Roman" w:hAnsi="Calibri" w:cs="Calibri"/>
                <w:color w:val="000000"/>
              </w:rPr>
            </w:pPr>
            <w:r>
              <w:rPr>
                <w:rFonts w:ascii="Calibri" w:hAnsi="Calibri" w:cs="Calibri"/>
                <w:color w:val="000000"/>
              </w:rPr>
              <w:t>P</w:t>
            </w:r>
            <w:r w:rsidR="00616A82">
              <w:rPr>
                <w:rFonts w:ascii="Calibri" w:hAnsi="Calibri" w:cs="Calibri"/>
                <w:color w:val="000000"/>
              </w:rPr>
              <w:t>ayments per 1,000 people in August 2013-December 2015</w:t>
            </w:r>
          </w:p>
        </w:tc>
        <w:tc>
          <w:tcPr>
            <w:tcW w:w="2161" w:type="dxa"/>
            <w:noWrap/>
            <w:vAlign w:val="center"/>
            <w:hideMark/>
          </w:tcPr>
          <w:p w14:paraId="043B1593" w14:textId="77777777" w:rsidR="00616A82" w:rsidRPr="00CB6651" w:rsidRDefault="00616A82" w:rsidP="00616A82">
            <w:pPr>
              <w:spacing w:line="240" w:lineRule="auto"/>
              <w:jc w:val="center"/>
              <w:rPr>
                <w:rFonts w:ascii="Calibri" w:eastAsia="Times New Roman" w:hAnsi="Calibri" w:cs="Calibri"/>
                <w:color w:val="000000"/>
              </w:rPr>
            </w:pPr>
            <w:r>
              <w:rPr>
                <w:rFonts w:ascii="Calibri" w:eastAsia="Times New Roman" w:hAnsi="Calibri" w:cs="Calibri"/>
                <w:color w:val="000000"/>
              </w:rPr>
              <w:t>Prescribing Rate per 100 people in 2016</w:t>
            </w:r>
          </w:p>
        </w:tc>
        <w:tc>
          <w:tcPr>
            <w:tcW w:w="2161" w:type="dxa"/>
            <w:noWrap/>
            <w:vAlign w:val="center"/>
            <w:hideMark/>
          </w:tcPr>
          <w:p w14:paraId="69B763D1" w14:textId="77777777" w:rsidR="00616A82" w:rsidRPr="00CB6651" w:rsidRDefault="00616A82" w:rsidP="00616A82">
            <w:pPr>
              <w:spacing w:line="240" w:lineRule="auto"/>
              <w:jc w:val="center"/>
              <w:rPr>
                <w:rFonts w:ascii="Calibri" w:eastAsia="Times New Roman" w:hAnsi="Calibri" w:cs="Calibri"/>
                <w:color w:val="000000"/>
              </w:rPr>
            </w:pPr>
            <w:r>
              <w:rPr>
                <w:rFonts w:ascii="Calibri" w:eastAsia="Times New Roman" w:hAnsi="Calibri" w:cs="Calibri"/>
                <w:color w:val="000000"/>
              </w:rPr>
              <w:t>POD rate per 100,000 in 2016</w:t>
            </w:r>
          </w:p>
        </w:tc>
      </w:tr>
      <w:tr w:rsidR="00616A82" w:rsidRPr="00CB6651" w14:paraId="77DE6196" w14:textId="77777777" w:rsidTr="00616A82">
        <w:trPr>
          <w:trHeight w:val="256"/>
          <w:jc w:val="center"/>
        </w:trPr>
        <w:tc>
          <w:tcPr>
            <w:tcW w:w="3415" w:type="dxa"/>
            <w:noWrap/>
            <w:hideMark/>
          </w:tcPr>
          <w:p w14:paraId="50A7A5F2" w14:textId="448A5C02"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Salem</w:t>
            </w:r>
            <w:r>
              <w:rPr>
                <w:rFonts w:ascii="Calibri" w:eastAsia="Times New Roman" w:hAnsi="Calibri" w:cs="Calibri"/>
                <w:color w:val="000000"/>
              </w:rPr>
              <w:t xml:space="preserve"> C</w:t>
            </w:r>
            <w:r w:rsidRPr="00CB6651">
              <w:rPr>
                <w:rFonts w:ascii="Calibri" w:eastAsia="Times New Roman" w:hAnsi="Calibri" w:cs="Calibri"/>
                <w:color w:val="000000"/>
              </w:rPr>
              <w:t>ity, Virginia</w:t>
            </w:r>
          </w:p>
        </w:tc>
        <w:tc>
          <w:tcPr>
            <w:tcW w:w="2160" w:type="dxa"/>
            <w:noWrap/>
            <w:vAlign w:val="bottom"/>
            <w:hideMark/>
          </w:tcPr>
          <w:p w14:paraId="4A96047D" w14:textId="50DD64E8" w:rsidR="00616A82" w:rsidRPr="00C73D09" w:rsidRDefault="00616A82" w:rsidP="00616A82">
            <w:pPr>
              <w:spacing w:line="240" w:lineRule="auto"/>
              <w:jc w:val="center"/>
            </w:pPr>
            <w:r>
              <w:rPr>
                <w:rFonts w:ascii="Calibri" w:hAnsi="Calibri" w:cs="Calibri"/>
                <w:color w:val="000000"/>
              </w:rPr>
              <w:t>10.4</w:t>
            </w:r>
          </w:p>
        </w:tc>
        <w:tc>
          <w:tcPr>
            <w:tcW w:w="2161" w:type="dxa"/>
            <w:noWrap/>
            <w:vAlign w:val="bottom"/>
            <w:hideMark/>
          </w:tcPr>
          <w:p w14:paraId="78370580" w14:textId="77777777" w:rsidR="00616A82" w:rsidRDefault="00616A82" w:rsidP="00616A82">
            <w:pPr>
              <w:spacing w:line="240" w:lineRule="auto"/>
              <w:jc w:val="center"/>
              <w:rPr>
                <w:rFonts w:ascii="Calibri" w:hAnsi="Calibri" w:cs="Calibri"/>
                <w:color w:val="000000"/>
              </w:rPr>
            </w:pPr>
            <w:r>
              <w:rPr>
                <w:rFonts w:ascii="Calibri" w:hAnsi="Calibri" w:cs="Calibri"/>
                <w:color w:val="000000"/>
              </w:rPr>
              <w:t>206</w:t>
            </w:r>
          </w:p>
        </w:tc>
        <w:tc>
          <w:tcPr>
            <w:tcW w:w="2161" w:type="dxa"/>
            <w:noWrap/>
            <w:vAlign w:val="center"/>
            <w:hideMark/>
          </w:tcPr>
          <w:p w14:paraId="71DAF463" w14:textId="77777777" w:rsidR="00616A82" w:rsidRPr="00F64128" w:rsidRDefault="00616A82" w:rsidP="00616A82">
            <w:pPr>
              <w:spacing w:line="240" w:lineRule="auto"/>
              <w:jc w:val="center"/>
            </w:pPr>
            <w:r w:rsidRPr="00F64128">
              <w:t>27.7</w:t>
            </w:r>
          </w:p>
        </w:tc>
      </w:tr>
      <w:tr w:rsidR="00616A82" w:rsidRPr="00CB6651" w14:paraId="732C1112" w14:textId="77777777" w:rsidTr="00616A82">
        <w:trPr>
          <w:trHeight w:val="256"/>
          <w:jc w:val="center"/>
        </w:trPr>
        <w:tc>
          <w:tcPr>
            <w:tcW w:w="3415" w:type="dxa"/>
            <w:noWrap/>
            <w:hideMark/>
          </w:tcPr>
          <w:p w14:paraId="2952BFCA" w14:textId="7CFBF7C4"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 xml:space="preserve">Winchester </w:t>
            </w:r>
            <w:r>
              <w:rPr>
                <w:rFonts w:ascii="Calibri" w:eastAsia="Times New Roman" w:hAnsi="Calibri" w:cs="Calibri"/>
                <w:color w:val="000000"/>
              </w:rPr>
              <w:t>C</w:t>
            </w:r>
            <w:r w:rsidRPr="00CB6651">
              <w:rPr>
                <w:rFonts w:ascii="Calibri" w:eastAsia="Times New Roman" w:hAnsi="Calibri" w:cs="Calibri"/>
                <w:color w:val="000000"/>
              </w:rPr>
              <w:t>ity, Virginia</w:t>
            </w:r>
          </w:p>
        </w:tc>
        <w:tc>
          <w:tcPr>
            <w:tcW w:w="2160" w:type="dxa"/>
            <w:noWrap/>
            <w:vAlign w:val="bottom"/>
            <w:hideMark/>
          </w:tcPr>
          <w:p w14:paraId="66946B71" w14:textId="1B4DEBDB" w:rsidR="00616A82" w:rsidRPr="00C73D09" w:rsidRDefault="00616A82" w:rsidP="00616A82">
            <w:pPr>
              <w:spacing w:line="240" w:lineRule="auto"/>
              <w:jc w:val="center"/>
            </w:pPr>
            <w:r>
              <w:rPr>
                <w:rFonts w:ascii="Calibri" w:hAnsi="Calibri" w:cs="Calibri"/>
                <w:color w:val="000000"/>
              </w:rPr>
              <w:t>7.1</w:t>
            </w:r>
          </w:p>
        </w:tc>
        <w:tc>
          <w:tcPr>
            <w:tcW w:w="2161" w:type="dxa"/>
            <w:noWrap/>
            <w:vAlign w:val="bottom"/>
            <w:hideMark/>
          </w:tcPr>
          <w:p w14:paraId="66EABDB1" w14:textId="77777777" w:rsidR="00616A82" w:rsidRDefault="00616A82" w:rsidP="00616A82">
            <w:pPr>
              <w:jc w:val="center"/>
              <w:rPr>
                <w:rFonts w:ascii="Calibri" w:hAnsi="Calibri" w:cs="Calibri"/>
                <w:color w:val="000000"/>
              </w:rPr>
            </w:pPr>
            <w:r>
              <w:rPr>
                <w:rFonts w:ascii="Calibri" w:hAnsi="Calibri" w:cs="Calibri"/>
                <w:color w:val="000000"/>
              </w:rPr>
              <w:t>175</w:t>
            </w:r>
          </w:p>
        </w:tc>
        <w:tc>
          <w:tcPr>
            <w:tcW w:w="2161" w:type="dxa"/>
            <w:noWrap/>
            <w:vAlign w:val="center"/>
            <w:hideMark/>
          </w:tcPr>
          <w:p w14:paraId="567C21DD" w14:textId="77777777" w:rsidR="00616A82" w:rsidRPr="00F64128" w:rsidRDefault="00616A82" w:rsidP="00616A82">
            <w:pPr>
              <w:spacing w:line="240" w:lineRule="auto"/>
              <w:jc w:val="center"/>
            </w:pPr>
            <w:r w:rsidRPr="00F64128">
              <w:t>58.5</w:t>
            </w:r>
          </w:p>
        </w:tc>
      </w:tr>
      <w:tr w:rsidR="00616A82" w:rsidRPr="00CB6651" w14:paraId="6F6399D3" w14:textId="77777777" w:rsidTr="00616A82">
        <w:trPr>
          <w:trHeight w:val="256"/>
          <w:jc w:val="center"/>
        </w:trPr>
        <w:tc>
          <w:tcPr>
            <w:tcW w:w="3415" w:type="dxa"/>
            <w:noWrap/>
            <w:hideMark/>
          </w:tcPr>
          <w:p w14:paraId="7C97CE0E" w14:textId="77777777"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Cabell County, West Virginia</w:t>
            </w:r>
          </w:p>
        </w:tc>
        <w:tc>
          <w:tcPr>
            <w:tcW w:w="2160" w:type="dxa"/>
            <w:noWrap/>
            <w:vAlign w:val="bottom"/>
            <w:hideMark/>
          </w:tcPr>
          <w:p w14:paraId="66C8EC4A" w14:textId="0AC23F43" w:rsidR="00616A82" w:rsidRPr="00C73D09" w:rsidRDefault="00616A82" w:rsidP="00616A82">
            <w:pPr>
              <w:spacing w:line="240" w:lineRule="auto"/>
              <w:jc w:val="center"/>
            </w:pPr>
            <w:r>
              <w:rPr>
                <w:rFonts w:ascii="Calibri" w:hAnsi="Calibri" w:cs="Calibri"/>
                <w:color w:val="000000"/>
              </w:rPr>
              <w:t>6.6</w:t>
            </w:r>
          </w:p>
        </w:tc>
        <w:tc>
          <w:tcPr>
            <w:tcW w:w="2161" w:type="dxa"/>
            <w:noWrap/>
            <w:vAlign w:val="bottom"/>
            <w:hideMark/>
          </w:tcPr>
          <w:p w14:paraId="451DC0CD" w14:textId="77777777" w:rsidR="00616A82" w:rsidRDefault="00616A82" w:rsidP="00616A82">
            <w:pPr>
              <w:jc w:val="center"/>
              <w:rPr>
                <w:rFonts w:ascii="Calibri" w:hAnsi="Calibri" w:cs="Calibri"/>
                <w:color w:val="000000"/>
              </w:rPr>
            </w:pPr>
            <w:r>
              <w:rPr>
                <w:rFonts w:ascii="Calibri" w:hAnsi="Calibri" w:cs="Calibri"/>
                <w:color w:val="000000"/>
              </w:rPr>
              <w:t>122.3</w:t>
            </w:r>
          </w:p>
        </w:tc>
        <w:tc>
          <w:tcPr>
            <w:tcW w:w="2161" w:type="dxa"/>
            <w:noWrap/>
            <w:vAlign w:val="center"/>
            <w:hideMark/>
          </w:tcPr>
          <w:p w14:paraId="217A6439" w14:textId="77777777" w:rsidR="00616A82" w:rsidRPr="00F64128" w:rsidRDefault="00616A82" w:rsidP="00616A82">
            <w:pPr>
              <w:spacing w:line="240" w:lineRule="auto"/>
              <w:jc w:val="center"/>
            </w:pPr>
            <w:r w:rsidRPr="00F64128">
              <w:t>93.1</w:t>
            </w:r>
          </w:p>
        </w:tc>
      </w:tr>
      <w:tr w:rsidR="00616A82" w:rsidRPr="00CB6651" w14:paraId="3F9576F9" w14:textId="77777777" w:rsidTr="00616A82">
        <w:trPr>
          <w:trHeight w:val="256"/>
          <w:jc w:val="center"/>
        </w:trPr>
        <w:tc>
          <w:tcPr>
            <w:tcW w:w="3415" w:type="dxa"/>
            <w:noWrap/>
            <w:hideMark/>
          </w:tcPr>
          <w:p w14:paraId="5B11198E" w14:textId="40D4150E"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 xml:space="preserve">Norton </w:t>
            </w:r>
            <w:r>
              <w:rPr>
                <w:rFonts w:ascii="Calibri" w:eastAsia="Times New Roman" w:hAnsi="Calibri" w:cs="Calibri"/>
                <w:color w:val="000000"/>
              </w:rPr>
              <w:t>C</w:t>
            </w:r>
            <w:r w:rsidRPr="00CB6651">
              <w:rPr>
                <w:rFonts w:ascii="Calibri" w:eastAsia="Times New Roman" w:hAnsi="Calibri" w:cs="Calibri"/>
                <w:color w:val="000000"/>
              </w:rPr>
              <w:t>ity, Virginia</w:t>
            </w:r>
          </w:p>
        </w:tc>
        <w:tc>
          <w:tcPr>
            <w:tcW w:w="2160" w:type="dxa"/>
            <w:noWrap/>
            <w:vAlign w:val="bottom"/>
            <w:hideMark/>
          </w:tcPr>
          <w:p w14:paraId="3A0E37A0" w14:textId="2C9D7975" w:rsidR="00616A82" w:rsidRPr="00C73D09" w:rsidRDefault="00616A82" w:rsidP="00616A82">
            <w:pPr>
              <w:spacing w:line="240" w:lineRule="auto"/>
              <w:jc w:val="center"/>
            </w:pPr>
            <w:r>
              <w:rPr>
                <w:rFonts w:ascii="Calibri" w:hAnsi="Calibri" w:cs="Calibri"/>
                <w:color w:val="000000"/>
              </w:rPr>
              <w:t>5.5</w:t>
            </w:r>
          </w:p>
        </w:tc>
        <w:tc>
          <w:tcPr>
            <w:tcW w:w="2161" w:type="dxa"/>
            <w:noWrap/>
            <w:vAlign w:val="bottom"/>
            <w:hideMark/>
          </w:tcPr>
          <w:p w14:paraId="4E78C333" w14:textId="77777777" w:rsidR="00616A82" w:rsidRDefault="00616A82" w:rsidP="00616A82">
            <w:pPr>
              <w:jc w:val="center"/>
              <w:rPr>
                <w:rFonts w:ascii="Calibri" w:hAnsi="Calibri" w:cs="Calibri"/>
                <w:color w:val="000000"/>
              </w:rPr>
            </w:pPr>
            <w:r>
              <w:rPr>
                <w:rFonts w:ascii="Calibri" w:hAnsi="Calibri" w:cs="Calibri"/>
                <w:color w:val="000000"/>
              </w:rPr>
              <w:t>470.3</w:t>
            </w:r>
          </w:p>
        </w:tc>
        <w:tc>
          <w:tcPr>
            <w:tcW w:w="2161" w:type="dxa"/>
            <w:noWrap/>
            <w:vAlign w:val="center"/>
            <w:hideMark/>
          </w:tcPr>
          <w:p w14:paraId="09E55FB6" w14:textId="77777777" w:rsidR="00616A82" w:rsidRPr="00F64128" w:rsidRDefault="00616A82" w:rsidP="00616A82">
            <w:pPr>
              <w:spacing w:line="240" w:lineRule="auto"/>
              <w:jc w:val="center"/>
            </w:pPr>
            <w:r w:rsidRPr="00F64128">
              <w:t>25.1</w:t>
            </w:r>
          </w:p>
        </w:tc>
      </w:tr>
      <w:tr w:rsidR="00616A82" w:rsidRPr="00CB6651" w14:paraId="139A53BE" w14:textId="77777777" w:rsidTr="00616A82">
        <w:trPr>
          <w:trHeight w:val="256"/>
          <w:jc w:val="center"/>
        </w:trPr>
        <w:tc>
          <w:tcPr>
            <w:tcW w:w="3415" w:type="dxa"/>
            <w:noWrap/>
            <w:hideMark/>
          </w:tcPr>
          <w:p w14:paraId="64020E97" w14:textId="77777777"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Erie County, Ohio</w:t>
            </w:r>
          </w:p>
        </w:tc>
        <w:tc>
          <w:tcPr>
            <w:tcW w:w="2160" w:type="dxa"/>
            <w:noWrap/>
            <w:vAlign w:val="bottom"/>
            <w:hideMark/>
          </w:tcPr>
          <w:p w14:paraId="3DF6926B" w14:textId="03BAB56B" w:rsidR="00616A82" w:rsidRPr="00C73D09" w:rsidRDefault="00616A82" w:rsidP="00616A82">
            <w:pPr>
              <w:spacing w:line="240" w:lineRule="auto"/>
              <w:jc w:val="center"/>
            </w:pPr>
            <w:r>
              <w:rPr>
                <w:rFonts w:ascii="Calibri" w:hAnsi="Calibri" w:cs="Calibri"/>
                <w:color w:val="000000"/>
              </w:rPr>
              <w:t>5.0</w:t>
            </w:r>
          </w:p>
        </w:tc>
        <w:tc>
          <w:tcPr>
            <w:tcW w:w="2161" w:type="dxa"/>
            <w:noWrap/>
            <w:vAlign w:val="bottom"/>
            <w:hideMark/>
          </w:tcPr>
          <w:p w14:paraId="375BEB5D" w14:textId="77777777" w:rsidR="00616A82" w:rsidRDefault="00616A82" w:rsidP="00616A82">
            <w:pPr>
              <w:jc w:val="center"/>
              <w:rPr>
                <w:rFonts w:ascii="Calibri" w:hAnsi="Calibri" w:cs="Calibri"/>
                <w:color w:val="000000"/>
              </w:rPr>
            </w:pPr>
            <w:r>
              <w:rPr>
                <w:rFonts w:ascii="Calibri" w:hAnsi="Calibri" w:cs="Calibri"/>
                <w:color w:val="000000"/>
              </w:rPr>
              <w:t>84.3</w:t>
            </w:r>
          </w:p>
        </w:tc>
        <w:tc>
          <w:tcPr>
            <w:tcW w:w="2161" w:type="dxa"/>
            <w:noWrap/>
            <w:vAlign w:val="center"/>
            <w:hideMark/>
          </w:tcPr>
          <w:p w14:paraId="5C61161E" w14:textId="77777777" w:rsidR="00616A82" w:rsidRPr="00F64128" w:rsidRDefault="00616A82" w:rsidP="00616A82">
            <w:pPr>
              <w:spacing w:line="240" w:lineRule="auto"/>
              <w:jc w:val="center"/>
            </w:pPr>
            <w:r w:rsidRPr="00F64128">
              <w:t>26.4</w:t>
            </w:r>
          </w:p>
        </w:tc>
      </w:tr>
      <w:tr w:rsidR="00616A82" w:rsidRPr="00CB6651" w14:paraId="7C6C99B7" w14:textId="77777777" w:rsidTr="00616A82">
        <w:trPr>
          <w:trHeight w:val="256"/>
          <w:jc w:val="center"/>
        </w:trPr>
        <w:tc>
          <w:tcPr>
            <w:tcW w:w="3415" w:type="dxa"/>
            <w:noWrap/>
            <w:hideMark/>
          </w:tcPr>
          <w:p w14:paraId="228B6782" w14:textId="77777777"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Lackawanna County, Pennsylvania</w:t>
            </w:r>
          </w:p>
        </w:tc>
        <w:tc>
          <w:tcPr>
            <w:tcW w:w="2160" w:type="dxa"/>
            <w:noWrap/>
            <w:vAlign w:val="bottom"/>
            <w:hideMark/>
          </w:tcPr>
          <w:p w14:paraId="590EA4A4" w14:textId="0983274F" w:rsidR="00616A82" w:rsidRPr="00C73D09" w:rsidRDefault="00616A82" w:rsidP="00616A82">
            <w:pPr>
              <w:spacing w:line="240" w:lineRule="auto"/>
              <w:jc w:val="center"/>
            </w:pPr>
            <w:r>
              <w:rPr>
                <w:rFonts w:ascii="Calibri" w:hAnsi="Calibri" w:cs="Calibri"/>
                <w:color w:val="000000"/>
              </w:rPr>
              <w:t>5.0</w:t>
            </w:r>
          </w:p>
        </w:tc>
        <w:tc>
          <w:tcPr>
            <w:tcW w:w="2161" w:type="dxa"/>
            <w:noWrap/>
            <w:vAlign w:val="bottom"/>
            <w:hideMark/>
          </w:tcPr>
          <w:p w14:paraId="21CF0D2F" w14:textId="77777777" w:rsidR="00616A82" w:rsidRDefault="00616A82" w:rsidP="00616A82">
            <w:pPr>
              <w:jc w:val="center"/>
              <w:rPr>
                <w:rFonts w:ascii="Calibri" w:hAnsi="Calibri" w:cs="Calibri"/>
                <w:color w:val="000000"/>
              </w:rPr>
            </w:pPr>
            <w:r>
              <w:rPr>
                <w:rFonts w:ascii="Calibri" w:hAnsi="Calibri" w:cs="Calibri"/>
                <w:color w:val="000000"/>
              </w:rPr>
              <w:t>112.1</w:t>
            </w:r>
          </w:p>
        </w:tc>
        <w:tc>
          <w:tcPr>
            <w:tcW w:w="2161" w:type="dxa"/>
            <w:noWrap/>
            <w:vAlign w:val="center"/>
            <w:hideMark/>
          </w:tcPr>
          <w:p w14:paraId="1F39833E" w14:textId="77777777" w:rsidR="00616A82" w:rsidRPr="00F64128" w:rsidRDefault="00616A82" w:rsidP="00616A82">
            <w:pPr>
              <w:spacing w:line="240" w:lineRule="auto"/>
              <w:jc w:val="center"/>
            </w:pPr>
            <w:r w:rsidRPr="00F64128">
              <w:t>24.9</w:t>
            </w:r>
          </w:p>
        </w:tc>
      </w:tr>
      <w:tr w:rsidR="00616A82" w:rsidRPr="00CB6651" w14:paraId="540DF713" w14:textId="77777777" w:rsidTr="00616A82">
        <w:trPr>
          <w:trHeight w:val="256"/>
          <w:jc w:val="center"/>
        </w:trPr>
        <w:tc>
          <w:tcPr>
            <w:tcW w:w="3415" w:type="dxa"/>
            <w:noWrap/>
            <w:hideMark/>
          </w:tcPr>
          <w:p w14:paraId="6D520A86" w14:textId="77777777"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Brooke County, West Virginia</w:t>
            </w:r>
          </w:p>
        </w:tc>
        <w:tc>
          <w:tcPr>
            <w:tcW w:w="2160" w:type="dxa"/>
            <w:noWrap/>
            <w:vAlign w:val="bottom"/>
            <w:hideMark/>
          </w:tcPr>
          <w:p w14:paraId="7F6A990F" w14:textId="7BD9B58B" w:rsidR="00616A82" w:rsidRPr="00C73D09" w:rsidRDefault="00616A82" w:rsidP="00616A82">
            <w:pPr>
              <w:spacing w:line="240" w:lineRule="auto"/>
              <w:jc w:val="center"/>
            </w:pPr>
            <w:r>
              <w:rPr>
                <w:rFonts w:ascii="Calibri" w:hAnsi="Calibri" w:cs="Calibri"/>
                <w:color w:val="000000"/>
              </w:rPr>
              <w:t>4.9</w:t>
            </w:r>
          </w:p>
        </w:tc>
        <w:tc>
          <w:tcPr>
            <w:tcW w:w="2161" w:type="dxa"/>
            <w:noWrap/>
            <w:vAlign w:val="bottom"/>
            <w:hideMark/>
          </w:tcPr>
          <w:p w14:paraId="377EC152" w14:textId="77777777" w:rsidR="00616A82" w:rsidRDefault="00616A82" w:rsidP="00616A82">
            <w:pPr>
              <w:jc w:val="center"/>
              <w:rPr>
                <w:rFonts w:ascii="Calibri" w:hAnsi="Calibri" w:cs="Calibri"/>
                <w:color w:val="000000"/>
              </w:rPr>
            </w:pPr>
            <w:r>
              <w:rPr>
                <w:rFonts w:ascii="Calibri" w:hAnsi="Calibri" w:cs="Calibri"/>
                <w:color w:val="000000"/>
              </w:rPr>
              <w:t>86.3</w:t>
            </w:r>
          </w:p>
        </w:tc>
        <w:tc>
          <w:tcPr>
            <w:tcW w:w="2161" w:type="dxa"/>
            <w:noWrap/>
            <w:vAlign w:val="center"/>
            <w:hideMark/>
          </w:tcPr>
          <w:p w14:paraId="14CB3DC9" w14:textId="77777777" w:rsidR="00616A82" w:rsidRPr="00F64128" w:rsidRDefault="00616A82" w:rsidP="00616A82">
            <w:pPr>
              <w:spacing w:line="240" w:lineRule="auto"/>
              <w:jc w:val="center"/>
            </w:pPr>
            <w:r w:rsidRPr="00F64128">
              <w:t>34.1</w:t>
            </w:r>
          </w:p>
        </w:tc>
      </w:tr>
      <w:tr w:rsidR="00616A82" w:rsidRPr="00CB6651" w14:paraId="72BFA219" w14:textId="77777777" w:rsidTr="00616A82">
        <w:trPr>
          <w:trHeight w:val="256"/>
          <w:jc w:val="center"/>
        </w:trPr>
        <w:tc>
          <w:tcPr>
            <w:tcW w:w="3415" w:type="dxa"/>
            <w:noWrap/>
            <w:hideMark/>
          </w:tcPr>
          <w:p w14:paraId="36CC7071" w14:textId="4AA449E3"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 xml:space="preserve">Fredericksburg </w:t>
            </w:r>
            <w:r>
              <w:rPr>
                <w:rFonts w:ascii="Calibri" w:eastAsia="Times New Roman" w:hAnsi="Calibri" w:cs="Calibri"/>
                <w:color w:val="000000"/>
              </w:rPr>
              <w:t>C</w:t>
            </w:r>
            <w:r w:rsidRPr="00CB6651">
              <w:rPr>
                <w:rFonts w:ascii="Calibri" w:eastAsia="Times New Roman" w:hAnsi="Calibri" w:cs="Calibri"/>
                <w:color w:val="000000"/>
              </w:rPr>
              <w:t>ity, Virginia</w:t>
            </w:r>
          </w:p>
        </w:tc>
        <w:tc>
          <w:tcPr>
            <w:tcW w:w="2160" w:type="dxa"/>
            <w:noWrap/>
            <w:vAlign w:val="bottom"/>
            <w:hideMark/>
          </w:tcPr>
          <w:p w14:paraId="5C025F0A" w14:textId="7E06F687" w:rsidR="00616A82" w:rsidRPr="00C73D09" w:rsidRDefault="00616A82" w:rsidP="00616A82">
            <w:pPr>
              <w:spacing w:line="240" w:lineRule="auto"/>
              <w:jc w:val="center"/>
            </w:pPr>
            <w:r>
              <w:rPr>
                <w:rFonts w:ascii="Calibri" w:hAnsi="Calibri" w:cs="Calibri"/>
                <w:color w:val="000000"/>
              </w:rPr>
              <w:t>4.7</w:t>
            </w:r>
          </w:p>
        </w:tc>
        <w:tc>
          <w:tcPr>
            <w:tcW w:w="2161" w:type="dxa"/>
            <w:noWrap/>
            <w:vAlign w:val="bottom"/>
            <w:hideMark/>
          </w:tcPr>
          <w:p w14:paraId="6204E11E" w14:textId="77777777" w:rsidR="00616A82" w:rsidRDefault="00616A82" w:rsidP="00616A82">
            <w:pPr>
              <w:jc w:val="center"/>
              <w:rPr>
                <w:rFonts w:ascii="Calibri" w:hAnsi="Calibri" w:cs="Calibri"/>
                <w:color w:val="000000"/>
              </w:rPr>
            </w:pPr>
            <w:r>
              <w:rPr>
                <w:rFonts w:ascii="Calibri" w:hAnsi="Calibri" w:cs="Calibri"/>
                <w:color w:val="000000"/>
              </w:rPr>
              <w:t>166.3</w:t>
            </w:r>
          </w:p>
        </w:tc>
        <w:tc>
          <w:tcPr>
            <w:tcW w:w="2161" w:type="dxa"/>
            <w:noWrap/>
            <w:vAlign w:val="center"/>
            <w:hideMark/>
          </w:tcPr>
          <w:p w14:paraId="703D179C" w14:textId="77777777" w:rsidR="00616A82" w:rsidRPr="00F64128" w:rsidRDefault="00616A82" w:rsidP="00616A82">
            <w:pPr>
              <w:spacing w:line="240" w:lineRule="auto"/>
              <w:jc w:val="center"/>
            </w:pPr>
            <w:r w:rsidRPr="00F64128">
              <w:t>39.5</w:t>
            </w:r>
          </w:p>
        </w:tc>
      </w:tr>
      <w:tr w:rsidR="00616A82" w:rsidRPr="00CB6651" w14:paraId="3998A323" w14:textId="77777777" w:rsidTr="00616A82">
        <w:trPr>
          <w:trHeight w:val="256"/>
          <w:jc w:val="center"/>
        </w:trPr>
        <w:tc>
          <w:tcPr>
            <w:tcW w:w="3415" w:type="dxa"/>
            <w:noWrap/>
            <w:hideMark/>
          </w:tcPr>
          <w:p w14:paraId="3CBA7E9C" w14:textId="77777777"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Lucas County, Ohio</w:t>
            </w:r>
          </w:p>
        </w:tc>
        <w:tc>
          <w:tcPr>
            <w:tcW w:w="2160" w:type="dxa"/>
            <w:noWrap/>
            <w:vAlign w:val="bottom"/>
            <w:hideMark/>
          </w:tcPr>
          <w:p w14:paraId="5998054E" w14:textId="073369E0" w:rsidR="00616A82" w:rsidRPr="00C73D09" w:rsidRDefault="00616A82" w:rsidP="00616A82">
            <w:pPr>
              <w:spacing w:line="240" w:lineRule="auto"/>
              <w:jc w:val="center"/>
            </w:pPr>
            <w:r>
              <w:rPr>
                <w:rFonts w:ascii="Calibri" w:hAnsi="Calibri" w:cs="Calibri"/>
                <w:color w:val="000000"/>
              </w:rPr>
              <w:t>4.6</w:t>
            </w:r>
          </w:p>
        </w:tc>
        <w:tc>
          <w:tcPr>
            <w:tcW w:w="2161" w:type="dxa"/>
            <w:noWrap/>
            <w:vAlign w:val="bottom"/>
            <w:hideMark/>
          </w:tcPr>
          <w:p w14:paraId="38106AFC" w14:textId="77777777" w:rsidR="00616A82" w:rsidRDefault="00616A82" w:rsidP="00616A82">
            <w:pPr>
              <w:jc w:val="center"/>
              <w:rPr>
                <w:rFonts w:ascii="Calibri" w:hAnsi="Calibri" w:cs="Calibri"/>
                <w:color w:val="000000"/>
              </w:rPr>
            </w:pPr>
            <w:r>
              <w:rPr>
                <w:rFonts w:ascii="Calibri" w:hAnsi="Calibri" w:cs="Calibri"/>
                <w:color w:val="000000"/>
              </w:rPr>
              <w:t>98</w:t>
            </w:r>
          </w:p>
        </w:tc>
        <w:tc>
          <w:tcPr>
            <w:tcW w:w="2161" w:type="dxa"/>
            <w:noWrap/>
            <w:vAlign w:val="center"/>
            <w:hideMark/>
          </w:tcPr>
          <w:p w14:paraId="68E523BB" w14:textId="77777777" w:rsidR="00616A82" w:rsidRPr="00F64128" w:rsidRDefault="00616A82" w:rsidP="00616A82">
            <w:pPr>
              <w:spacing w:line="240" w:lineRule="auto"/>
              <w:jc w:val="center"/>
            </w:pPr>
            <w:r w:rsidRPr="00F64128">
              <w:t>27.6</w:t>
            </w:r>
          </w:p>
        </w:tc>
      </w:tr>
      <w:tr w:rsidR="00616A82" w:rsidRPr="00CB6651" w14:paraId="28D611E0" w14:textId="77777777" w:rsidTr="00616A82">
        <w:trPr>
          <w:trHeight w:val="256"/>
          <w:jc w:val="center"/>
        </w:trPr>
        <w:tc>
          <w:tcPr>
            <w:tcW w:w="3415" w:type="dxa"/>
            <w:noWrap/>
            <w:hideMark/>
          </w:tcPr>
          <w:p w14:paraId="2FB74644" w14:textId="77777777" w:rsidR="00616A82" w:rsidRPr="00CB6651" w:rsidRDefault="00616A82" w:rsidP="00616A82">
            <w:pPr>
              <w:spacing w:line="240" w:lineRule="auto"/>
              <w:rPr>
                <w:rFonts w:ascii="Calibri" w:eastAsia="Times New Roman" w:hAnsi="Calibri" w:cs="Calibri"/>
                <w:color w:val="000000"/>
              </w:rPr>
            </w:pPr>
            <w:r w:rsidRPr="00CB6651">
              <w:rPr>
                <w:rFonts w:ascii="Calibri" w:eastAsia="Times New Roman" w:hAnsi="Calibri" w:cs="Calibri"/>
                <w:color w:val="000000"/>
              </w:rPr>
              <w:t>Lawrence County, Pennsylvania</w:t>
            </w:r>
          </w:p>
        </w:tc>
        <w:tc>
          <w:tcPr>
            <w:tcW w:w="2160" w:type="dxa"/>
            <w:noWrap/>
            <w:vAlign w:val="bottom"/>
            <w:hideMark/>
          </w:tcPr>
          <w:p w14:paraId="250F5C4C" w14:textId="4B27AB2E" w:rsidR="00616A82" w:rsidRDefault="00616A82" w:rsidP="00616A82">
            <w:pPr>
              <w:spacing w:line="240" w:lineRule="auto"/>
              <w:jc w:val="center"/>
            </w:pPr>
            <w:r>
              <w:rPr>
                <w:rFonts w:ascii="Calibri" w:hAnsi="Calibri" w:cs="Calibri"/>
                <w:color w:val="000000"/>
              </w:rPr>
              <w:t>4.4</w:t>
            </w:r>
          </w:p>
        </w:tc>
        <w:tc>
          <w:tcPr>
            <w:tcW w:w="2161" w:type="dxa"/>
            <w:noWrap/>
            <w:vAlign w:val="bottom"/>
            <w:hideMark/>
          </w:tcPr>
          <w:p w14:paraId="59548EEC" w14:textId="77777777" w:rsidR="00616A82" w:rsidRDefault="00616A82" w:rsidP="00616A82">
            <w:pPr>
              <w:jc w:val="center"/>
              <w:rPr>
                <w:rFonts w:ascii="Calibri" w:hAnsi="Calibri" w:cs="Calibri"/>
                <w:color w:val="000000"/>
              </w:rPr>
            </w:pPr>
            <w:r>
              <w:rPr>
                <w:rFonts w:ascii="Calibri" w:hAnsi="Calibri" w:cs="Calibri"/>
                <w:color w:val="000000"/>
              </w:rPr>
              <w:t>92.4</w:t>
            </w:r>
          </w:p>
        </w:tc>
        <w:tc>
          <w:tcPr>
            <w:tcW w:w="2161" w:type="dxa"/>
            <w:noWrap/>
            <w:vAlign w:val="center"/>
            <w:hideMark/>
          </w:tcPr>
          <w:p w14:paraId="1BFBE03C" w14:textId="77777777" w:rsidR="00616A82" w:rsidRDefault="00616A82" w:rsidP="00616A82">
            <w:pPr>
              <w:spacing w:line="240" w:lineRule="auto"/>
              <w:jc w:val="center"/>
            </w:pPr>
            <w:r w:rsidRPr="00F64128">
              <w:t>36.1</w:t>
            </w:r>
          </w:p>
        </w:tc>
      </w:tr>
    </w:tbl>
    <w:p w14:paraId="37787B11" w14:textId="77777777" w:rsidR="006E6FA1" w:rsidRDefault="006E6FA1" w:rsidP="006751E1">
      <w:pPr>
        <w:spacing w:after="0"/>
      </w:pPr>
    </w:p>
    <w:sectPr w:rsidR="006E6FA1" w:rsidSect="00616A8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508D"/>
    <w:multiLevelType w:val="hybridMultilevel"/>
    <w:tmpl w:val="E4CC0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F1348"/>
    <w:multiLevelType w:val="hybridMultilevel"/>
    <w:tmpl w:val="B1DC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D7FDF"/>
    <w:multiLevelType w:val="hybridMultilevel"/>
    <w:tmpl w:val="EB1E6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BB2E6C"/>
    <w:multiLevelType w:val="hybridMultilevel"/>
    <w:tmpl w:val="EB1E6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BD341F"/>
    <w:multiLevelType w:val="hybridMultilevel"/>
    <w:tmpl w:val="EB1E6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3143A0F"/>
    <w:multiLevelType w:val="hybridMultilevel"/>
    <w:tmpl w:val="04221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6A746E"/>
    <w:multiLevelType w:val="hybridMultilevel"/>
    <w:tmpl w:val="FAD8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32D7D"/>
    <w:multiLevelType w:val="hybridMultilevel"/>
    <w:tmpl w:val="8BBE5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B84221"/>
    <w:multiLevelType w:val="hybridMultilevel"/>
    <w:tmpl w:val="3CA262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5"/>
  </w:num>
  <w:num w:numId="6">
    <w:abstractNumId w:val="6"/>
  </w:num>
  <w:num w:numId="7">
    <w:abstractNumId w:val="0"/>
  </w:num>
  <w:num w:numId="8">
    <w:abstractNumId w:val="3"/>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16"/>
    <w:rsid w:val="004206BA"/>
    <w:rsid w:val="004F3253"/>
    <w:rsid w:val="00616A82"/>
    <w:rsid w:val="0063787E"/>
    <w:rsid w:val="00644D4C"/>
    <w:rsid w:val="006751E1"/>
    <w:rsid w:val="006E5AAF"/>
    <w:rsid w:val="006E6FA1"/>
    <w:rsid w:val="009314B6"/>
    <w:rsid w:val="00A74413"/>
    <w:rsid w:val="00AA0CEB"/>
    <w:rsid w:val="00B74889"/>
    <w:rsid w:val="00BF3716"/>
    <w:rsid w:val="00C04D59"/>
    <w:rsid w:val="00C3334F"/>
    <w:rsid w:val="00CB6651"/>
    <w:rsid w:val="00DC7DD3"/>
    <w:rsid w:val="00F76CE3"/>
    <w:rsid w:val="00FA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C396"/>
  <w15:chartTrackingRefBased/>
  <w15:docId w15:val="{119DCBA0-645A-4644-ADD1-B9283697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71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716"/>
    <w:pPr>
      <w:ind w:left="720"/>
      <w:contextualSpacing/>
    </w:pPr>
  </w:style>
  <w:style w:type="table" w:styleId="TableGridLight">
    <w:name w:val="Grid Table Light"/>
    <w:basedOn w:val="TableNormal"/>
    <w:uiPriority w:val="40"/>
    <w:rsid w:val="006751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040648">
      <w:bodyDiv w:val="1"/>
      <w:marLeft w:val="0"/>
      <w:marRight w:val="0"/>
      <w:marTop w:val="0"/>
      <w:marBottom w:val="0"/>
      <w:divBdr>
        <w:top w:val="none" w:sz="0" w:space="0" w:color="auto"/>
        <w:left w:val="none" w:sz="0" w:space="0" w:color="auto"/>
        <w:bottom w:val="none" w:sz="0" w:space="0" w:color="auto"/>
        <w:right w:val="none" w:sz="0" w:space="0" w:color="auto"/>
      </w:divBdr>
    </w:div>
    <w:div w:id="839659461">
      <w:bodyDiv w:val="1"/>
      <w:marLeft w:val="0"/>
      <w:marRight w:val="0"/>
      <w:marTop w:val="0"/>
      <w:marBottom w:val="0"/>
      <w:divBdr>
        <w:top w:val="none" w:sz="0" w:space="0" w:color="auto"/>
        <w:left w:val="none" w:sz="0" w:space="0" w:color="auto"/>
        <w:bottom w:val="none" w:sz="0" w:space="0" w:color="auto"/>
        <w:right w:val="none" w:sz="0" w:space="0" w:color="auto"/>
      </w:divBdr>
    </w:div>
    <w:div w:id="1122920505">
      <w:bodyDiv w:val="1"/>
      <w:marLeft w:val="0"/>
      <w:marRight w:val="0"/>
      <w:marTop w:val="0"/>
      <w:marBottom w:val="0"/>
      <w:divBdr>
        <w:top w:val="none" w:sz="0" w:space="0" w:color="auto"/>
        <w:left w:val="none" w:sz="0" w:space="0" w:color="auto"/>
        <w:bottom w:val="none" w:sz="0" w:space="0" w:color="auto"/>
        <w:right w:val="none" w:sz="0" w:space="0" w:color="auto"/>
      </w:divBdr>
    </w:div>
    <w:div w:id="1499422701">
      <w:bodyDiv w:val="1"/>
      <w:marLeft w:val="0"/>
      <w:marRight w:val="0"/>
      <w:marTop w:val="0"/>
      <w:marBottom w:val="0"/>
      <w:divBdr>
        <w:top w:val="none" w:sz="0" w:space="0" w:color="auto"/>
        <w:left w:val="none" w:sz="0" w:space="0" w:color="auto"/>
        <w:bottom w:val="none" w:sz="0" w:space="0" w:color="auto"/>
        <w:right w:val="none" w:sz="0" w:space="0" w:color="auto"/>
      </w:divBdr>
    </w:div>
    <w:div w:id="1759012923">
      <w:bodyDiv w:val="1"/>
      <w:marLeft w:val="0"/>
      <w:marRight w:val="0"/>
      <w:marTop w:val="0"/>
      <w:marBottom w:val="0"/>
      <w:divBdr>
        <w:top w:val="none" w:sz="0" w:space="0" w:color="auto"/>
        <w:left w:val="none" w:sz="0" w:space="0" w:color="auto"/>
        <w:bottom w:val="none" w:sz="0" w:space="0" w:color="auto"/>
        <w:right w:val="none" w:sz="0" w:space="0" w:color="auto"/>
      </w:divBdr>
    </w:div>
    <w:div w:id="18993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59CED51-F05A-4F9C-8E28-780E1FEA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Ariadne</dc:creator>
  <cp:keywords/>
  <dc:description/>
  <cp:lastModifiedBy>Steven Johnson</cp:lastModifiedBy>
  <cp:revision>2</cp:revision>
  <dcterms:created xsi:type="dcterms:W3CDTF">2019-01-18T16:40:00Z</dcterms:created>
  <dcterms:modified xsi:type="dcterms:W3CDTF">2019-01-18T16:40:00Z</dcterms:modified>
</cp:coreProperties>
</file>