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nrjtebjijgqijiqmt-4fv">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predict, for each Bitcoin transaction in the test set, the probability that it is </w:t>
      </w:r>
      <w:r>
        <w:rPr>
          <w:b/>
          <w:bCs/>
        </w:rPr>
        <w:t xml:space="preserve">illicit</w:t>
      </w:r>
      <w:r>
        <w:t xml:space="preserve"> (linked to scams, ransomware, darknet markets or other crime), scored by ROC-AUC. The training data has 141,772 transactions from time steps 1–35, each with 165 anonymised features and links to other transactions; only 22% are labelled, and 11.7% of those are illicit. All test transactions come from </w:t>
      </w:r>
      <w:r>
        <w:rPr>
          <w:b/>
          <w:bCs/>
        </w:rPr>
        <w:t xml:space="preserve">later</w:t>
      </w:r>
      <w:r>
        <w:t xml:space="preserve"> time steps (36–49), so the model must predict a period it has never seen. Our final model, a recency-weighted XGBoost on 45 features, scores </w:t>
      </w:r>
      <w:r>
        <w:rPr>
          <w:b/>
          <w:bCs/>
        </w:rPr>
        <w:t xml:space="preserve">ROC-AUC 0.95483</w:t>
      </w:r>
      <w:r>
        <w:t xml:space="preserve"> on the public leaderboard.</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share of illicit transactions swings between 0.4% and 36% across time steps, an early sign that patterns change over time (drift). </w:t>
      </w:r>
      <w:r>
        <w:rPr>
          <w:rFonts w:ascii="Consolas" w:cs="Consolas" w:eastAsia="Consolas" w:hAnsi="Consolas"/>
          <w:sz w:val="20"/>
          <w:szCs w:val="20"/>
        </w:rPr>
        <w:t xml:space="preserve">time_step</w:t>
      </w:r>
      <w:r>
        <w:t xml:space="preserve"> itself is never a model input, because every test value lies outside the training range.</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puts almost all its weight on the largest component and gives ≈ 0 to every other time step.</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78% of training transactions have no label, so we tried to turn some of them into extra training examples, hoping more data (especially more illicit examples) would help the model predict more accurately. Label propagation (k-nearest-neighbour, 7 neighbours) spreads the known labels to unlabelled transactions with similar features; we kept only confident predictions (≥ 0.9), giving pseudo-labels for 48,014 transactions. The results said otherwise: adding them lowered validation ROC-AUC from 0.997 to 0.964 (confidence ≥ 0.95) and 0.986 (≥ 0.99), and both versions scored lower on the leaderboard, likely because even confident pseudo-labels contain errors. We therefore trained only on the original 31,235 labels.</w:t>
      </w:r>
    </w:p>
    <w:p>
      <w:pPr>
        <w:pStyle w:val="Heading2"/>
        <w:keepNext/>
        <w:spacing w:after="40" w:before="120"/>
      </w:pPr>
      <w:r>
        <w:t xml:space="preserve">2.2 Model Development and Validation</w:t>
      </w:r>
    </w:p>
    <w:p>
      <w:pPr>
        <w:spacing w:after="80" w:line="240"/>
      </w:pPr>
      <w:r>
        <w:t xml:space="preserve">Model development followed four steps: set up validation that mimics the test setting, weight the training rows, tune hyperparameters, and reduce the feature set.</w:t>
      </w:r>
    </w:p>
    <w:p>
      <w:pPr>
        <w:spacing w:after="80" w:line="240"/>
      </w:pPr>
      <w:r>
        <w:rPr>
          <w:b/>
          <w:bCs/>
        </w:rPr>
        <w:t xml:space="preserve">Step 1: 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It was used for steps 2–4.</w:t>
      </w:r>
    </w:p>
    <w:p>
      <w:pPr>
        <w:spacing w:after="80" w:line="240"/>
      </w:pPr>
      <w:r>
        <w:rPr>
          <w:b/>
          <w:bCs/>
        </w:rPr>
        <w:t xml:space="preserve">Step 2: Sample weights for imbalance and drift.</w:t>
      </w:r>
      <w:r>
        <w:t xml:space="preserve"> Instead of treating every training row equally, we gave each row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or 20 on the validation splits) and h is the half-life. A row from step T gets weight 1, and the weight halves every h steps further back: with h = 10 and T = 35, a row from step 25 gets 0.5 and one from step 15 gets 0.25. Because fraud patterns drift, recent labels are the best guide to the test period, but older rows still carry signal, so we down-weight rather than drop them.</w:t>
      </w:r>
    </w:p>
    <w:p>
      <w:pPr>
        <w:spacing w:after="80" w:line="240"/>
      </w:pPr>
      <w:r>
        <w:t xml:space="preserve">Each row's final weight is the product (an illicit row from step 35 counts 7.6; a licit row from step 15 counts 0.25). It is passed to the model as </w:t>
      </w:r>
      <w:r>
        <w:rPr>
          <w:rFonts w:ascii="Consolas" w:cs="Consolas" w:eastAsia="Consolas" w:hAnsi="Consolas"/>
          <w:sz w:val="20"/>
          <w:szCs w:val="20"/>
        </w:rPr>
        <w:t xml:space="preserve">sample_weight</w:t>
      </w:r>
      <w:r>
        <w:t xml:space="preserve">, which multiplies that row's error in the training loss, so the model concentrates on getting illicit and recent transactions right. LightGBM and the MLP used the same weights. A half-life of 10 clearly beat no weighting (0.881 vs. 0.854) and half-lives of 5, 20 and 40 (Figure 1), and raised the leaderboard score from 0.940 to 0.949, the largest single gain of the project.</w:t>
      </w:r>
    </w:p>
    <w:p>
      <w:pPr>
        <w:keepNext/>
        <w:spacing w:after="0" w:before="60"/>
        <w:jc w:val="center"/>
      </w:pPr>
      <w:r>
        <w:drawing>
          <wp:inline distT="0" distB="0" distL="0" distR="0">
            <wp:extent cx="3810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1. Gap-matched validation ROC-AUC of XGBoost by recency half-life.</w:t>
      </w:r>
    </w:p>
    <w:p>
      <w:pPr>
        <w:spacing w:after="80" w:line="240"/>
      </w:pPr>
      <w:r>
        <w:rPr>
          <w:b/>
          <w:bCs/>
        </w:rPr>
        <w:t xml:space="preserve">Step 3: Hyperparameter tuning and overfitting control.</w:t>
      </w:r>
      <w:r>
        <w:t xml:space="preserve"> We trained XGBoost with every combination of tree depth {4, 6, 8}, learning rate {0.05, 0.1, 0.2}, row and column sampling {0.7, 1.0} and L2 penalty {1, 5} (72 configurations, 300 trees each) and kept the best on the gap-matched split. The winner is shallow and strongly regularised: </w:t>
      </w:r>
      <w:r>
        <w:rPr>
          <w:rFonts w:ascii="Consolas" w:cs="Consolas" w:eastAsia="Consolas" w:hAnsi="Consolas"/>
          <w:sz w:val="20"/>
          <w:szCs w:val="20"/>
        </w:rPr>
        <w:t xml:space="preserve">max_depth=4</w:t>
      </w:r>
      <w:r>
        <w:t xml:space="preserve">, learning rate 0.1, 70% of features per tree and </w:t>
      </w:r>
      <w:r>
        <w:rPr>
          <w:rFonts w:ascii="Consolas" w:cs="Consolas" w:eastAsia="Consolas" w:hAnsi="Consolas"/>
          <w:sz w:val="20"/>
          <w:szCs w:val="20"/>
        </w:rPr>
        <w:t xml:space="preserve">reg_lambda=5</w:t>
      </w:r>
      <w:r>
        <w:t xml:space="preserve">. Shallow trees, the L2 penalty and column sampling all limit how closely the model can fit the training period. When we later re-ran the grid on the final feature set, it preferred a less regularised model (0.900 vs. 0.881), but that model scored lower on the leaderboard (0.94936 vs. 0.95430). We kept the regularised settings and stopped acting on small validation gains alone.</w:t>
      </w:r>
    </w:p>
    <w:p>
      <w:pPr>
        <w:spacing w:after="80" w:line="240"/>
      </w:pPr>
      <w:r>
        <w:rPr>
          <w:b/>
          <w:bCs/>
        </w:rPr>
        <w:t xml:space="preserve">Step 4: SHAP-based feature selection.</w:t>
      </w:r>
      <w:r>
        <w:t xml:space="preserve"> SHAP measures how much each feature moves the model's predictions. We ranked the 85 features by mean |SHAP| in a model trained on the gap-matched training rows only (so the ranking never saw validation labels) and retrained on the top 75, 65, 55, 45 and 35. Only the top 45 matched all 85 features (0.8819 vs. 0.8809), and on the leaderboard it scored 0.95483 vs. 0.95430. We kept it as the simpler model, not for a meaningful gain.</w:t>
      </w:r>
    </w:p>
    <w:p>
      <w:pPr>
        <w:pStyle w:val="Heading2"/>
        <w:keepNext/>
        <w:spacing w:after="40" w:before="120"/>
      </w:pPr>
      <w:r>
        <w:t xml:space="preserve">2.3 Model Exploration and Final Strategy</w:t>
      </w:r>
    </w:p>
    <w:p>
      <w:pPr>
        <w:spacing w:after="80" w:line="240"/>
      </w:pPr>
      <w:r>
        <w:t xml:space="preserve">We explored models in three stages (Table 1):</w:t>
      </w:r>
    </w:p>
    <w:p>
      <w:pPr>
        <w:pStyle w:val="ListParagraph"/>
        <w:numPr>
          <w:ilvl w:val="0"/>
          <w:numId w:val="2"/>
        </w:numPr>
        <w:spacing w:after="30" w:line="240"/>
      </w:pPr>
      <w:r>
        <w:rPr>
          <w:b/>
          <w:bCs/>
        </w:rPr>
        <w:t xml:space="preserve">Baselines</w:t>
      </w:r>
      <w:r>
        <w:t xml:space="preserve"> (adjacent split, default settings). Logistic Regression was far weaker (0.869), so the boundary between licit and illicit is strongly non-linear. Random Forest was precise (illicit precision 0.988) but missed over a quarter of illicit transactions. The two gradient-boosting models, XGBoost and LightGBM, were best (illicit F1 0.955 and 0.964 vs. 0.838; ROC-AUC ≈ 0.998 for all three tree models), and we built on XGBoost.</w:t>
      </w:r>
    </w:p>
    <w:p>
      <w:pPr>
        <w:pStyle w:val="ListParagraph"/>
        <w:numPr>
          <w:ilvl w:val="0"/>
          <w:numId w:val="2"/>
        </w:numPr>
        <w:spacing w:after="30" w:line="240"/>
      </w:pPr>
      <w:r>
        <w:rPr>
          <w:b/>
          <w:bCs/>
        </w:rPr>
        <w:t xml:space="preserve">Stronger alternatives.</w:t>
      </w:r>
      <w:r>
        <w:t xml:space="preserve"> We then tried models that could beat the XGBoost recipe: a re-tuned XGBoost, a tuned LightGBM and a neural network (a multi-layer perceptron with one hidden layer of 64 units, quantile-scaled inputs and predictions averaged over five random seeds). Each scored higher than XGBoost on the gap-matched split, but all three scored lower on the leaderboard. A deeper two-layer network did worse still.</w:t>
      </w:r>
    </w:p>
    <w:p>
      <w:pPr>
        <w:pStyle w:val="ListParagraph"/>
        <w:numPr>
          <w:ilvl w:val="0"/>
          <w:numId w:val="2"/>
        </w:numPr>
        <w:spacing w:after="30" w:line="240"/>
      </w:pPr>
      <w:r>
        <w:rPr>
          <w:b/>
          <w:bCs/>
        </w:rPr>
        <w:t xml:space="preserve">Ensembles.</w:t>
      </w:r>
      <w:r>
        <w:t xml:space="preserve"> We averaged the </w:t>
      </w:r>
      <w:r>
        <w:rPr>
          <w:i/>
          <w:iCs/>
        </w:rPr>
        <w:t xml:space="preserve">ranks</w:t>
      </w:r>
      <w:r>
        <w:t xml:space="preserve"> of two models' predictions (ROC-AUC only scores the ordering). A blend only helps if the models make different mistakes: LightGBM ranked transactions almost like XGBoost (correlation 0.94), so blending gained nothing. The MLP was very different (0.68) but too weak. The Random Forest blend scored slightly higher on the adjacent split (0.998 vs. 0.997) but lower on the leaderboard.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w:t>
      </w:r>
    </w:p>
    <w:p>
      <w:pPr>
        <w:spacing w:after="80" w:line="240"/>
      </w:pPr>
      <w:r>
        <w:rPr>
          <w:b/>
          <w:bCs/>
        </w:rPr>
        <w:t xml:space="preserve">Final strategy.</w:t>
      </w:r>
      <w:r>
        <w:t xml:space="preserve"> We accepted a change only when validation supported it </w:t>
      </w:r>
      <w:r>
        <w:rPr>
          <w:b/>
          <w:bCs/>
        </w:rPr>
        <w:t xml:space="preserve">and</w:t>
      </w:r>
      <w:r>
        <w:t xml:space="preserve"> the leaderboard confirmed it. The final submission is the regularised XGBoost from Step 3, trained on all 31,235 labelled transactions with class and recency weights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000500" cy="2066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66925"/>
                    </a:xfrm>
                    <a:prstGeom prst="rect">
                      <a:avLst/>
                    </a:prstGeom>
                  </pic:spPr>
                </pic:pic>
              </a:graphicData>
            </a:graphic>
          </wp:inline>
        </w:drawing>
      </w:r>
    </w:p>
    <w:p>
      <w:pPr>
        <w:spacing w:after="100" w:before="40"/>
        <w:jc w:val="left"/>
      </w:pPr>
      <w:r>
        <w:rPr>
          <w:color w:val="52514E"/>
          <w:sz w:val="18"/>
          <w:szCs w:val="18"/>
        </w:rPr>
        <w:t xml:space="preserve">Figure 2.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so the features themselves change over time. The test period also spans the shutdown of a major dark market (around step 43 in the original Elliptic study), a shift no training data covers. This is why recency weighting helped most.</w:t>
      </w:r>
    </w:p>
    <w:p>
      <w:pPr>
        <w:spacing w:after="80" w:line="240"/>
      </w:pPr>
      <w:r>
        <w:rPr>
          <w:b/>
          <w:bCs/>
        </w:rPr>
        <w:t xml:space="preserve">Neither validation split was reliable on its own</w:t>
      </w:r>
      <w:r>
        <w:t xml:space="preserve"> (Table 1). The gap-matched split was right about training choices (recency weighting, the half-life), but it favoured every more flexible model, and all of them lost on the leaderboard. The adjacent split also misled once, favouring the Random Forest blend.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3),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No graph feature reaches the top 15, yet adding the graph features raised the leaderboard score: they add a small amount of information the anonymised features lack. Removing the most time-revealing features found by adversarial validation lowered the score, so drifting features can still carry signal.</w:t>
      </w:r>
    </w:p>
    <w:p>
      <w:pPr>
        <w:keepNext/>
        <w:spacing w:after="0" w:before="60"/>
        <w:jc w:val="center"/>
      </w:pPr>
      <w:r>
        <w:drawing>
          <wp:inline distT="0" distB="0" distL="0" distR="0">
            <wp:extent cx="3238500" cy="2276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3.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and pseudo-labels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rjtebjijgqijiqmt-4fv" Type="http://schemas.openxmlformats.org/officeDocument/2006/relationships/hyperlink" Target="https://github.com/timc5nn/BT4012" TargetMode="External"/><Relationship Id="rId9" Type="http://schemas.openxmlformats.org/officeDocument/2006/relationships/image" Target="media/036b9b1c1611a130da080e6afe096c66cd92221f.png"/><Relationship Id="rId10" Type="http://schemas.openxmlformats.org/officeDocument/2006/relationships/image" Target="media/5ca107975b9414ec19b0d20b9656f92ac92f2323.png"/><Relationship Id="rId11" Type="http://schemas.openxmlformats.org/officeDocument/2006/relationships/image" Target="media/5dca9ecf922ffb47b9ea31664b706e4563e551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2026-10-18T11:51:06.393Z</dcterms:created>
  <dcterms:modified xsi:type="dcterms:W3CDTF">2026-10-18T11:51:06.399Z</dcterms:modified>
</cp:coreProperties>
</file>

<file path=docProps/custom.xml><?xml version="1.0" encoding="utf-8"?>
<Properties xmlns="http://schemas.openxmlformats.org/officeDocument/2006/custom-properties" xmlns:vt="http://schemas.openxmlformats.org/officeDocument/2006/docPropsVTypes"/>
</file>