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sdvdklqgpedtzgjlhp2dl">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78% of training transactions have no label, so we tried to turn some of them into extra training examples, hoping more data (especially more illicit examples) would help the model predict more accurately. Label propagation (k-nearest-neighbour, 7 neighbours) spreads the known labels to unlabelled transactions with similar features; we kept only confident predictions (≥ 0.9), giving pseudo-labels for 48,014 transactions. The results said otherwise: adding them lowered validation ROC-AUC from 0.997 to 0.964 (confidence ≥ 0.95) and 0.986 (≥ 0.99), and both versions scored lower on the leaderboard, likely because even confident pseudo-labels contain errors. We therefore trained only on the original 31,235 labels.</w:t>
      </w:r>
    </w:p>
    <w:p>
      <w:pPr>
        <w:pStyle w:val="Heading2"/>
        <w:keepNext/>
        <w:spacing w:after="40" w:before="120"/>
      </w:pPr>
      <w:r>
        <w:t xml:space="preserve">2.2 Model Development and Validation</w:t>
      </w:r>
    </w:p>
    <w:p>
      <w:pPr>
        <w:spacing w:after="80" w:line="240"/>
      </w:pPr>
      <w:r>
        <w:rPr>
          <w:b/>
          <w:bCs/>
        </w:rPr>
        <w:t xml:space="preserve">Choice of model.</w:t>
      </w:r>
      <w:r>
        <w:t xml:space="preserve"> We chose </w:t>
      </w:r>
      <w:r>
        <w:rPr>
          <w:b/>
          <w:bCs/>
        </w:rPr>
        <w:t xml:space="preserve">XGBoost</w:t>
      </w:r>
      <w:r>
        <w:t xml:space="preserve"> (gradient-boosted decision trees) as our main model. Trees capture non-linear patterns and are unaffected by the heavy-tailed, unscaled features; XGBoost accepts a separate weight for every training row (Step 2) and has built-in controls against overfitting (Step 3); and in our baseline comparison the boosting models clearly beat Logistic Regression and Random Forest (Section 2.3). We then developed it in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averaging its absolute value over all rows ranks the features by importance (Figure 2). We ranked the 85 features this way in a model trained on the gap-matched training rows only (so the ranking never saw validation labels), then retrained on the top-ranked ones. Gap-matched ROC-AUC: all 85, 0.881; top 75, 0.851; top 65, 0.859; top 55, 0.862; </w:t>
      </w:r>
      <w:r>
        <w:rPr>
          <w:b/>
          <w:bCs/>
        </w:rPr>
        <w:t xml:space="preserve">top 45, 0.882</w:t>
      </w:r>
      <w:r>
        <w:t xml:space="preserve">; top 35, 0.870. Only the top 45 matched all 85, and on the leaderboard it scored 0.95483 vs. 0.95430. We kept it as the simpler model, not for a meaningful gain.</w:t>
      </w:r>
    </w:p>
    <w:p>
      <w:pPr>
        <w:keepNext/>
        <w:spacing w:after="0" w:before="60"/>
        <w:jc w:val="center"/>
      </w:pPr>
      <w:r>
        <w:drawing>
          <wp:inline distT="0" distB="0" distL="0" distR="0">
            <wp:extent cx="3238500" cy="22764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2. Top 15 features of the final model by share of total mean |SHAP|.</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The Random Forest blend scored slightly higher on the adjacent split (0.998 vs. 0.997) but lower on the leaderboard.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XGBoost model from Section 2.2,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3.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so the features themselves change over time.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but it favoured every more flexible model, and all of them lost on the leaderboard. The adjacent split also misled once, favouring the Random Forest blend.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2),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No graph feature reaches the top 15, yet adding the graph features raised the leaderboard score: they add a small amount of information the anonymised features lack. Removing the most time-revealing features found by adversarial validation lowered the score, so drifting features can still carry signal.</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and pseudo-labels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sdvdklqgpedtzgjlhp2dl"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dca9ecf922ffb47b9ea31664b706e4563e55157.png"/><Relationship Id="rId11" Type="http://schemas.openxmlformats.org/officeDocument/2006/relationships/image" Target="media/5ca107975b9414ec19b0d20b9656f92ac92f232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2026-10-18T12:01:46.210Z</dcterms:created>
  <dcterms:modified xsi:type="dcterms:W3CDTF">2026-10-18T12:01:46.216Z</dcterms:modified>
</cp:coreProperties>
</file>

<file path=docProps/custom.xml><?xml version="1.0" encoding="utf-8"?>
<Properties xmlns="http://schemas.openxmlformats.org/officeDocument/2006/custom-properties" xmlns:vt="http://schemas.openxmlformats.org/officeDocument/2006/docPropsVTypes"/>
</file>