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sz w:val="36"/>
          <w:szCs w:val="36"/>
        </w:rPr>
        <w:t xml:space="preserve">Detecting Illicit Bitcoin Transactions under Temporal Drift</w:t>
      </w:r>
    </w:p>
    <w:p>
      <w:pPr>
        <w:spacing w:after="20"/>
      </w:pPr>
      <w:r>
        <w:rPr>
          <w:color w:val="52514E"/>
          <w:sz w:val="21"/>
          <w:szCs w:val="21"/>
        </w:rPr>
        <w:t xml:space="preserve">BT4012 Fraud Analytics — Competition Report · Tim Chua Siam Mgian · A0273128E</w:t>
      </w:r>
    </w:p>
    <w:p>
      <w:pPr>
        <w:spacing w:after="20"/>
      </w:pPr>
      <w:r>
        <w:rPr>
          <w:color w:val="52514E"/>
          <w:sz w:val="21"/>
          <w:szCs w:val="21"/>
        </w:rPr>
        <w:t xml:space="preserve">Code: </w:t>
      </w:r>
      <w:hyperlink w:history="1" r:id="rIdmncg-omyi22kpkicctxnc">
        <w:r>
          <w:rPr>
            <w:rStyle w:val="Hyperlink"/>
            <w:color w:val="52514E"/>
            <w:sz w:val="21"/>
            <w:szCs w:val="21"/>
            <w:u w:val="single"/>
          </w:rPr>
          <w:t xml:space="preserve">https://github.com/timc5nn/BT4012</w:t>
        </w:r>
      </w:hyperlink>
    </w:p>
    <w:p>
      <w:pPr>
        <w:pStyle w:val="Heading1"/>
        <w:keepNext/>
        <w:spacing w:after="60" w:before="160"/>
      </w:pPr>
      <w:r>
        <w:t xml:space="preserve">1. Introduction</w:t>
      </w:r>
    </w:p>
    <w:p>
      <w:pPr>
        <w:spacing w:after="80" w:line="240"/>
      </w:pPr>
      <w:r>
        <w:t xml:space="preserve">The task is to estimate, for each Bitcoin transaction in a test set, the probability that it is </w:t>
      </w:r>
      <w:r>
        <w:rPr>
          <w:b/>
          <w:bCs/>
        </w:rPr>
        <w:t xml:space="preserve">illicit</w:t>
      </w:r>
      <w:r>
        <w:t xml:space="preserve"> (linked to scams, ransomware, darknet markets or other crime), scored by ROC-AUC. This is a core anti-money-laundering problem: every Bitcoin transaction is public and linked to the ones that funded it, but the volume is far too large for manual review, confirmed labels are scarce, and criminals adapt to avoid detection. A model that ranks transactions by risk lets investigators focus on the cases most likely to matter.</w:t>
      </w:r>
    </w:p>
    <w:p>
      <w:pPr>
        <w:spacing w:after="80" w:line="240"/>
      </w:pPr>
      <w:r>
        <w:t xml:space="preserve">The training set has 141,772 transactions over 35 time steps, each with 165 anonymised features; only 31,235 (22%) are labelled, and 11.7% of those are illicit. An edge list of 234,355 payment flows links transactions into a graph. All 15,329 test transactions come from </w:t>
      </w:r>
      <w:r>
        <w:rPr>
          <w:b/>
          <w:bCs/>
        </w:rPr>
        <w:t xml:space="preserve">later</w:t>
      </w:r>
      <w:r>
        <w:t xml:space="preserve"> time steps (36–49), so the task is a forecast into an unseen period. Our final model, a recency-weighted XGBoost on 45 features including label-free graph features, scores </w:t>
      </w:r>
      <w:r>
        <w:rPr>
          <w:b/>
          <w:bCs/>
        </w:rPr>
        <w:t xml:space="preserve">ROC-AUC 0.95483</w:t>
      </w:r>
      <w:r>
        <w:t xml:space="preserve"> on the public leaderboard, up from 0.940 for our first model. The main lesson is that this is as much a problem of </w:t>
      </w:r>
      <w:r>
        <w:rPr>
          <w:b/>
          <w:bCs/>
        </w:rPr>
        <w:t xml:space="preserve">temporal drift</w:t>
      </w:r>
      <w:r>
        <w:t xml:space="preserve"> as of classification.</w:t>
      </w:r>
    </w:p>
    <w:p>
      <w:pPr>
        <w:pStyle w:val="Heading1"/>
        <w:keepNext/>
        <w:spacing w:after="60" w:before="160"/>
      </w:pPr>
      <w:r>
        <w:t xml:space="preserve">2. Methodology</w:t>
      </w:r>
    </w:p>
    <w:p>
      <w:pPr>
        <w:pStyle w:val="Heading2"/>
        <w:keepNext/>
        <w:spacing w:after="40" w:before="120"/>
      </w:pPr>
      <w:r>
        <w:t xml:space="preserve">2.1 Data Preprocessing and Feature Engineering</w:t>
      </w:r>
    </w:p>
    <w:p>
      <w:pPr>
        <w:spacing w:after="80" w:line="240"/>
      </w:pPr>
      <w:r>
        <w:rPr>
          <w:b/>
          <w:bCs/>
        </w:rPr>
        <w:t xml:space="preserve">Data quality.</w:t>
      </w:r>
      <w:r>
        <w:t xml:space="preserve"> No feature has missing values; only the label is missing, for 78% of training rows. The illicit share also swings between 0.4% and 36% across time steps (Figure 1), an early sign of drift. </w:t>
      </w:r>
      <w:r>
        <w:rPr>
          <w:rFonts w:ascii="Consolas" w:cs="Consolas" w:eastAsia="Consolas" w:hAnsi="Consolas"/>
          <w:sz w:val="20"/>
          <w:szCs w:val="20"/>
        </w:rPr>
        <w:t xml:space="preserve">time_step</w:t>
      </w:r>
      <w:r>
        <w:t xml:space="preserve"> itself is never a model input, because every test value lies outside the training range.</w:t>
      </w:r>
    </w:p>
    <w:p>
      <w:pPr>
        <w:keepNext/>
        <w:spacing w:after="0" w:before="60"/>
        <w:jc w:val="center"/>
      </w:pPr>
      <w:r>
        <w:drawing>
          <wp:inline distT="0" distB="0" distL="0" distR="0">
            <wp:extent cx="4476750" cy="1819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1819275"/>
                    </a:xfrm>
                    <a:prstGeom prst="rect">
                      <a:avLst/>
                    </a:prstGeom>
                  </pic:spPr>
                </pic:pic>
              </a:graphicData>
            </a:graphic>
          </wp:inline>
        </w:drawing>
      </w:r>
    </w:p>
    <w:p>
      <w:pPr>
        <w:spacing w:after="100" w:before="40"/>
        <w:jc w:val="left"/>
      </w:pPr>
      <w:r>
        <w:rPr>
          <w:color w:val="52514E"/>
          <w:sz w:val="18"/>
          <w:szCs w:val="18"/>
        </w:rPr>
        <w:t xml:space="preserve">Figure 1. Share of labelled transactions that are illicit, by time step.</w:t>
      </w:r>
    </w:p>
    <w:p>
      <w:pPr>
        <w:spacing w:after="80" w:line="240"/>
      </w:pPr>
      <w:r>
        <w:rPr>
          <w:b/>
          <w:bCs/>
        </w:rPr>
        <w:t xml:space="preserve">Graph features.</w:t>
      </w:r>
      <w:r>
        <w:t xml:space="preserve"> The graph splits into exactly 49 disconnected components, one per time step, so test transactions never connect to a labelled one. Features built from neighbours' labels would therefore be zero for every test row, so we engineered only </w:t>
      </w:r>
      <w:r>
        <w:rPr>
          <w:b/>
          <w:bCs/>
        </w:rPr>
        <w:t xml:space="preserve">label-free</w:t>
      </w:r>
      <w:r>
        <w:t xml:space="preserve"> features, computed identically for training and test data:</w:t>
      </w:r>
    </w:p>
    <w:p>
      <w:pPr>
        <w:pStyle w:val="ListParagraph"/>
        <w:numPr>
          <w:ilvl w:val="0"/>
          <w:numId w:val="2"/>
        </w:numPr>
        <w:spacing w:after="30" w:line="240"/>
      </w:pPr>
      <w:r>
        <w:rPr>
          <w:b/>
          <w:bCs/>
        </w:rPr>
        <w:t xml:space="preserve">Degree:</w:t>
      </w:r>
      <w:r>
        <w:t xml:space="preserve"> total degree and out-minus-in degree (consolidation vs. fan-out).</w:t>
      </w:r>
    </w:p>
    <w:p>
      <w:pPr>
        <w:pStyle w:val="ListParagraph"/>
        <w:numPr>
          <w:ilvl w:val="0"/>
          <w:numId w:val="2"/>
        </w:numPr>
        <w:spacing w:after="30" w:line="240"/>
      </w:pPr>
      <w:r>
        <w:rPr>
          <w:b/>
          <w:bCs/>
        </w:rPr>
        <w:t xml:space="preserve">Centrality:</w:t>
      </w:r>
      <w:r>
        <w:t xml:space="preserve"> betweenness (estimated from 5,000 sampled sources), closeness and PageRank. PageRank replaced eigenvector centrality, which is non-zero for only 2.2% of transactions on a disconnected graph.</w:t>
      </w:r>
    </w:p>
    <w:p>
      <w:pPr>
        <w:pStyle w:val="ListParagraph"/>
        <w:numPr>
          <w:ilvl w:val="0"/>
          <w:numId w:val="2"/>
        </w:numPr>
        <w:spacing w:after="30" w:line="240"/>
      </w:pPr>
      <w:r>
        <w:rPr>
          <w:b/>
          <w:bCs/>
        </w:rPr>
        <w:t xml:space="preserve">Community (Louvain):</w:t>
      </w:r>
      <w:r>
        <w:t xml:space="preserve"> size, edge density and share of internal edges of each transaction's community.</w:t>
      </w:r>
    </w:p>
    <w:p>
      <w:pPr>
        <w:pStyle w:val="ListParagraph"/>
        <w:numPr>
          <w:ilvl w:val="0"/>
          <w:numId w:val="2"/>
        </w:numPr>
        <w:spacing w:after="30" w:line="240"/>
      </w:pPr>
      <w:r>
        <w:rPr>
          <w:b/>
          <w:bCs/>
        </w:rPr>
        <w:t xml:space="preserve">Neighbourhood:</w:t>
      </w:r>
      <w:r>
        <w:t xml:space="preserve"> flow ratio, mean neighbour degree and two-hop reach.</w:t>
      </w:r>
    </w:p>
    <w:p>
      <w:pPr>
        <w:spacing w:after="80" w:line="240"/>
      </w:pPr>
      <w:r>
        <w:rPr>
          <w:b/>
          <w:bCs/>
        </w:rPr>
        <w:t xml:space="preserve">Feature selection.</w:t>
      </w:r>
      <w:r>
        <w:t xml:space="preserve"> The anonymised features are highly redundant (147 pairs with |r| ≥ 0.9). From 176 candidates, we first grouped near-duplicates (|r| ≥ 0.9) and kept only the member most correlated with the label (78 removed), then pruned iteratively by VIF (threshold 10), each round dropping the least label-relevant feature above the threshold rather than the highest-VIF one (13 removed). This leaves </w:t>
      </w:r>
      <w:r>
        <w:rPr>
          <w:b/>
          <w:bCs/>
        </w:rPr>
        <w:t xml:space="preserve">85 features</w:t>
      </w:r>
      <w:r>
        <w:t xml:space="preserve"> (74 anonymised, 11 graph), with a maximum VIF of 7.6. Both filters used training data only.</w:t>
      </w:r>
    </w:p>
    <w:p>
      <w:pPr>
        <w:spacing w:after="80" w:line="240"/>
      </w:pPr>
      <w:r>
        <w:rPr>
          <w:b/>
          <w:bCs/>
        </w:rPr>
        <w:t xml:space="preserve">Unlabelled rows.</w:t>
      </w:r>
      <w:r>
        <w:t xml:space="preserve"> Label propagation (k-nearest-neighbour, threshold 0.9) assigned confident pseudo-labels to 48,014 unlabelled transactions. Adding them to training lowered validation ROC-AUC (0.997 → 0.964 at confidence ≥ 0.95, 0.986 at ≥ 0.99) and the leaderboard score, so the final model uses genuine labels only. PCA, UMAP and clustering also showed no separate illicit cluster, favouring supervised models.</w:t>
      </w:r>
    </w:p>
    <w:p>
      <w:pPr>
        <w:pStyle w:val="Heading2"/>
        <w:keepNext/>
        <w:spacing w:after="40" w:before="120"/>
      </w:pPr>
      <w:r>
        <w:t xml:space="preserve">2.2 Model Development and Validation</w:t>
      </w:r>
    </w:p>
    <w:p>
      <w:pPr>
        <w:spacing w:after="80" w:line="240"/>
      </w:pPr>
      <w:r>
        <w:rPr>
          <w:b/>
          <w:bCs/>
        </w:rPr>
        <w:t xml:space="preserve">Temporal hold-out validation.</w:t>
      </w:r>
      <w:r>
        <w:t xml:space="preserve"> We never used k-fold cross-validation: random folds would train on later transactions and score on earlier ones, leaking future information into validation. Instead, every model was trained on earlier time steps and validated on a single, later hold-out window, using two splits:</w:t>
      </w:r>
    </w:p>
    <w:p>
      <w:pPr>
        <w:pStyle w:val="ListParagraph"/>
        <w:numPr>
          <w:ilvl w:val="0"/>
          <w:numId w:val="2"/>
        </w:numPr>
        <w:spacing w:after="30" w:line="240"/>
      </w:pPr>
      <w:r>
        <w:rPr>
          <w:b/>
          <w:bCs/>
        </w:rPr>
        <w:t xml:space="preserve">Adjacent split</w:t>
      </w:r>
      <w:r>
        <w:t xml:space="preserve"> (train on steps 1–30, validate on 31–35). The validation window starts right after training, so it tests predictions only 1–5 steps ahead. We used it to compare the baseline models.</w:t>
      </w:r>
    </w:p>
    <w:p>
      <w:pPr>
        <w:pStyle w:val="ListParagraph"/>
        <w:numPr>
          <w:ilvl w:val="0"/>
          <w:numId w:val="2"/>
        </w:numPr>
        <w:spacing w:after="30" w:line="240"/>
      </w:pPr>
      <w:r>
        <w:rPr>
          <w:b/>
          <w:bCs/>
        </w:rPr>
        <w:t xml:space="preserve">Gap-matched split</w:t>
      </w:r>
      <w:r>
        <w:t xml:space="preserve"> (train on steps 1–20, validate on 30–35). The 10-step gap means it tests predictions 10–15 steps ahead, closer to the real task, where test transactions lie 1–14 steps after training. We added it because the adjacent split proved far too optimistic: our first model scored ROC-AUC 0.998 on it but 0.940 on the leaderboard, and almost every setting scored ≈ 0.998, leaving no room to tell them apart. The gap exposes models to the drift they face at test time, so it was used to choose the recency weighting, hyperparameters and features.</w:t>
      </w:r>
    </w:p>
    <w:p>
      <w:pPr>
        <w:spacing w:after="80" w:line="240"/>
      </w:pPr>
      <w:r>
        <w:rPr>
          <w:b/>
          <w:bCs/>
        </w:rPr>
        <w:t xml:space="preserve">Imbalance and recency weighting.</w:t>
      </w:r>
      <w:r>
        <w:t xml:space="preserve"> Instead of treating every training row equally, we gave each row its own weight in the loss, the product of two factors:</w:t>
      </w:r>
    </w:p>
    <w:p>
      <w:pPr>
        <w:pStyle w:val="ListParagraph"/>
        <w:numPr>
          <w:ilvl w:val="0"/>
          <w:numId w:val="2"/>
        </w:numPr>
        <w:spacing w:after="30" w:line="240"/>
      </w:pPr>
      <w:r>
        <w:rPr>
          <w:b/>
          <w:bCs/>
        </w:rPr>
        <w:t xml:space="preserve">Class weight.</w:t>
      </w:r>
      <w:r>
        <w:t xml:space="preserve"> Illicit rows get weight 7.6, the ratio of licit to illicit rows, and licit rows weight 1, so both classes contribute equally; otherwise the model can score well by mostly predicting licit. This is the standard "balanced" weighting.</w:t>
      </w:r>
    </w:p>
    <w:p>
      <w:pPr>
        <w:pStyle w:val="ListParagraph"/>
        <w:numPr>
          <w:ilvl w:val="0"/>
          <w:numId w:val="2"/>
        </w:numPr>
        <w:spacing w:after="30" w:line="240"/>
      </w:pPr>
      <w:r>
        <w:rPr>
          <w:b/>
          <w:bCs/>
        </w:rPr>
        <w:t xml:space="preserve">Recency weight</w:t>
      </w:r>
      <w:r>
        <w:t xml:space="preserve"> w = 0.5^((T − t)/h), where t is the row's time step, T the latest training step and h the half-life: the newest rows get weight 1, halving every h steps further back. We added it after diagnosing drift (Section 3): if fraud patterns change, recent labels are the best guide to the test period, but older rows still carry signal, so we down-weight rather than drop them. Exponential decay needs only one parameter, h.</w:t>
      </w:r>
    </w:p>
    <w:p>
      <w:pPr>
        <w:spacing w:after="80" w:line="240"/>
      </w:pPr>
      <w:r>
        <w:t xml:space="preserve">XGBoost's built-in class setting (</w:t>
      </w:r>
      <w:r>
        <w:rPr>
          <w:rFonts w:ascii="Consolas" w:cs="Consolas" w:eastAsia="Consolas" w:hAnsi="Consolas"/>
          <w:sz w:val="20"/>
          <w:szCs w:val="20"/>
        </w:rPr>
        <w:t xml:space="preserve">scale_pos_weight</w:t>
      </w:r>
      <w:r>
        <w:t xml:space="preserve">) is a single global factor, so we multiplied the two factors into one weight per row and passed it as </w:t>
      </w:r>
      <w:r>
        <w:rPr>
          <w:rFonts w:ascii="Consolas" w:cs="Consolas" w:eastAsia="Consolas" w:hAnsi="Consolas"/>
          <w:sz w:val="20"/>
          <w:szCs w:val="20"/>
        </w:rPr>
        <w:t xml:space="preserve">sample_weight</w:t>
      </w:r>
      <w:r>
        <w:t xml:space="preserve">. The half-life was chosen on the gap-matched split (Figure 2): 10 clearly beat no weighting (0.881 vs. 0.854) and half-lives of 5, 20 and 40 (0.834–0.851). The adjacent split could not make this choice: every half-life scored ≈ 0.998 on it, and its slight preference for 40 was rejected by the leaderboard. A half-life of 10 raised the leaderboard score from 0.940 to 0.949, the largest single gain of the project.</w:t>
      </w:r>
    </w:p>
    <w:p>
      <w:pPr>
        <w:keepNext/>
        <w:spacing w:after="0" w:before="60"/>
        <w:jc w:val="center"/>
      </w:pPr>
      <w:r>
        <w:drawing>
          <wp:inline distT="0" distB="0" distL="0" distR="0">
            <wp:extent cx="3810000" cy="14287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10000" cy="1428750"/>
                    </a:xfrm>
                    <a:prstGeom prst="rect">
                      <a:avLst/>
                    </a:prstGeom>
                  </pic:spPr>
                </pic:pic>
              </a:graphicData>
            </a:graphic>
          </wp:inline>
        </w:drawing>
      </w:r>
    </w:p>
    <w:p>
      <w:pPr>
        <w:spacing w:after="100" w:before="40"/>
        <w:jc w:val="left"/>
      </w:pPr>
      <w:r>
        <w:rPr>
          <w:color w:val="52514E"/>
          <w:sz w:val="18"/>
          <w:szCs w:val="18"/>
        </w:rPr>
        <w:t xml:space="preserve">Figure 2. Gap-matched validation ROC-AUC of XGBoost by recency half-life.</w:t>
      </w:r>
    </w:p>
    <w:p>
      <w:pPr>
        <w:spacing w:after="80" w:line="240"/>
      </w:pPr>
      <w:r>
        <w:rPr>
          <w:b/>
          <w:bCs/>
        </w:rPr>
        <w:t xml:space="preserve">Tuning and overfitting control.</w:t>
      </w:r>
      <w:r>
        <w:t xml:space="preserve"> XGBoost was tuned over 72 configurations (depth, learning rate, row and column sampling, L2 penalty). The chosen settings are shallow and strongly regularised: 300 trees, </w:t>
      </w:r>
      <w:r>
        <w:rPr>
          <w:rFonts w:ascii="Consolas" w:cs="Consolas" w:eastAsia="Consolas" w:hAnsi="Consolas"/>
          <w:sz w:val="20"/>
          <w:szCs w:val="20"/>
        </w:rPr>
        <w:t xml:space="preserve">max_depth=4</w:t>
      </w:r>
      <w:r>
        <w:t xml:space="preserve">, learning rate 0.1, 70% of features per tree, </w:t>
      </w:r>
      <w:r>
        <w:rPr>
          <w:rFonts w:ascii="Consolas" w:cs="Consolas" w:eastAsia="Consolas" w:hAnsi="Consolas"/>
          <w:sz w:val="20"/>
          <w:szCs w:val="20"/>
        </w:rPr>
        <w:t xml:space="preserve">reg_lambda=5</w:t>
      </w:r>
      <w:r>
        <w:t xml:space="preserve">. Re-tuning after adding graph features preferred a faster, less regularised model (gap-matched 0.900 vs. 0.881), but it scored lower on the leaderboard (0.94936 vs. 0.95430), so we kept the regularised settings and stopped acting on small validation gains alone.</w:t>
      </w:r>
    </w:p>
    <w:p>
      <w:pPr>
        <w:spacing w:after="80" w:line="240"/>
      </w:pPr>
      <w:r>
        <w:rPr>
          <w:b/>
          <w:bCs/>
        </w:rPr>
        <w:t xml:space="preserve">SHAP-based selection.</w:t>
      </w:r>
      <w:r>
        <w:t xml:space="preserve"> Ranking the 85 features by mean |SHAP| (on training rows only) and keeping the top 45 matched all 85 on the gap-matched split (0.8819 vs. 0.8809) and on the leaderboard (0.95483 vs. 0.95430), with half the features. We kept the smaller model for simplicity, not for a meaningful gain.</w:t>
      </w:r>
    </w:p>
    <w:p>
      <w:pPr>
        <w:pStyle w:val="Heading2"/>
        <w:keepNext/>
        <w:spacing w:after="40" w:before="120"/>
      </w:pPr>
      <w:r>
        <w:t xml:space="preserve">2.3 Model Exploration and Final Strategy</w:t>
      </w:r>
    </w:p>
    <w:p>
      <w:pPr>
        <w:spacing w:after="80" w:line="240"/>
      </w:pPr>
      <w:r>
        <w:t xml:space="preserve">We compared Logistic Regression, Random Forest, XGBoost, LightGBM and a neural network (a multi-layer perceptron with one hidden layer of 64 ReLU units, quantile-transformed inputs and predictions averaged over five random seeds), as well as rank-averaged ensembles. Table 1 summarises the main candidates.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38"/>
        <w:gridCol w:w="1700"/>
        <w:gridCol w:w="1700"/>
        <w:gridCol w:w="2600"/>
      </w:tblGrid>
      <w:tr>
        <w:trPr>
          <w:cantSplit/>
          <w:tblHeader/>
        </w:trPr>
        <w:tc>
          <w:tcPr>
            <w:tcW w:type="dxa" w:w="3638"/>
            <w:tcBorders>
              <w:top w:val="single" w:color="C9C7BF" w:sz="4"/>
              <w:left w:val="single" w:color="C9C7BF" w:sz="4"/>
              <w:bottom w:val="single" w:color="C9C7BF" w:sz="4"/>
              <w:right w:val="single" w:color="C9C7BF" w:sz="4"/>
            </w:tcBorders>
            <w:shd w:fill="EEF2F7" w:color="auto" w:val="clear"/>
            <w:tcMar>
              <w:top w:type="dxa" w:w="20"/>
              <w:left w:type="dxa" w:w="80"/>
              <w:bottom w:type="dxa" w:w="20"/>
              <w:right w:type="dxa" w:w="80"/>
            </w:tcMar>
          </w:tcPr>
          <w:p>
            <w:pPr>
              <w:keepNext/>
            </w:pPr>
            <w:r>
              <w:rPr>
                <w:b/>
                <w:bCs/>
                <w:sz w:val="18"/>
                <w:szCs w:val="18"/>
              </w:rPr>
              <w:t xml:space="preserve">Model</w:t>
            </w:r>
          </w:p>
        </w:tc>
        <w:tc>
          <w:tcPr>
            <w:tcW w:type="dxa" w:w="1700"/>
            <w:tcBorders>
              <w:top w:val="single" w:color="C9C7BF" w:sz="4"/>
              <w:left w:val="single" w:color="C9C7BF" w:sz="4"/>
              <w:bottom w:val="single" w:color="C9C7BF" w:sz="4"/>
              <w:right w:val="single" w:color="C9C7BF" w:sz="4"/>
            </w:tcBorders>
            <w:shd w:fill="EEF2F7" w:color="auto" w:val="clear"/>
            <w:tcMar>
              <w:top w:type="dxa" w:w="20"/>
              <w:left w:type="dxa" w:w="80"/>
              <w:bottom w:type="dxa" w:w="20"/>
              <w:right w:type="dxa" w:w="80"/>
            </w:tcMar>
          </w:tcPr>
          <w:p>
            <w:pPr>
              <w:keepNext/>
            </w:pPr>
            <w:r>
              <w:rPr>
                <w:b/>
                <w:bCs/>
                <w:sz w:val="18"/>
                <w:szCs w:val="18"/>
              </w:rPr>
              <w:t xml:space="preserve">Adjacent split</w:t>
            </w:r>
          </w:p>
        </w:tc>
        <w:tc>
          <w:tcPr>
            <w:tcW w:type="dxa" w:w="1700"/>
            <w:tcBorders>
              <w:top w:val="single" w:color="C9C7BF" w:sz="4"/>
              <w:left w:val="single" w:color="C9C7BF" w:sz="4"/>
              <w:bottom w:val="single" w:color="C9C7BF" w:sz="4"/>
              <w:right w:val="single" w:color="C9C7BF" w:sz="4"/>
            </w:tcBorders>
            <w:shd w:fill="EEF2F7" w:color="auto" w:val="clear"/>
            <w:tcMar>
              <w:top w:type="dxa" w:w="20"/>
              <w:left w:type="dxa" w:w="80"/>
              <w:bottom w:type="dxa" w:w="20"/>
              <w:right w:type="dxa" w:w="80"/>
            </w:tcMar>
          </w:tcPr>
          <w:p>
            <w:pPr>
              <w:keepNext/>
            </w:pPr>
            <w:r>
              <w:rPr>
                <w:b/>
                <w:bCs/>
                <w:sz w:val="18"/>
                <w:szCs w:val="18"/>
              </w:rPr>
              <w:t xml:space="preserve">Gap-matched split</w:t>
            </w:r>
          </w:p>
        </w:tc>
        <w:tc>
          <w:tcPr>
            <w:tcW w:type="dxa" w:w="2600"/>
            <w:tcBorders>
              <w:top w:val="single" w:color="C9C7BF" w:sz="4"/>
              <w:left w:val="single" w:color="C9C7BF" w:sz="4"/>
              <w:bottom w:val="single" w:color="C9C7BF" w:sz="4"/>
              <w:right w:val="single" w:color="C9C7BF" w:sz="4"/>
            </w:tcBorders>
            <w:shd w:fill="EEF2F7" w:color="auto" w:val="clear"/>
            <w:tcMar>
              <w:top w:type="dxa" w:w="20"/>
              <w:left w:type="dxa" w:w="80"/>
              <w:bottom w:type="dxa" w:w="20"/>
              <w:right w:type="dxa" w:w="80"/>
            </w:tcMar>
          </w:tcPr>
          <w:p>
            <w:pPr>
              <w:keepNext/>
            </w:pPr>
            <w:r>
              <w:rPr>
                <w:b/>
                <w:bCs/>
                <w:sz w:val="18"/>
                <w:szCs w:val="18"/>
              </w:rPr>
              <w:t xml:space="preserve">Leaderboard</w:t>
            </w:r>
          </w:p>
        </w:tc>
      </w:tr>
      <w:tr>
        <w:trPr>
          <w:cantSplit/>
        </w:trPr>
        <w:tc>
          <w:tcPr>
            <w:tcW w:type="dxa" w:w="3638"/>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b/>
                <w:bCs/>
                <w:sz w:val="18"/>
                <w:szCs w:val="18"/>
              </w:rPr>
              <w:t xml:space="preserve">XGBoost, final recipe</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0.997</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0.881</w:t>
            </w:r>
          </w:p>
        </w:tc>
        <w:tc>
          <w:tcPr>
            <w:tcW w:type="dxa" w:w="26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b/>
                <w:bCs/>
                <w:sz w:val="18"/>
                <w:szCs w:val="18"/>
              </w:rPr>
              <w:t xml:space="preserve">0.95483</w:t>
            </w:r>
          </w:p>
        </w:tc>
      </w:tr>
      <w:tr>
        <w:trPr>
          <w:cantSplit/>
        </w:trPr>
        <w:tc>
          <w:tcPr>
            <w:tcW w:type="dxa" w:w="3638"/>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XGBoost, re-tuned (less regularised)</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0.900 (better)</w:t>
            </w:r>
          </w:p>
        </w:tc>
        <w:tc>
          <w:tcPr>
            <w:tcW w:type="dxa" w:w="26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0.94936 (worse)</w:t>
            </w:r>
          </w:p>
        </w:tc>
      </w:tr>
      <w:tr>
        <w:trPr>
          <w:cantSplit/>
        </w:trPr>
        <w:tc>
          <w:tcPr>
            <w:tcW w:type="dxa" w:w="3638"/>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LightGBM, 7 leaves (tuned)</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0.890 (better)</w:t>
            </w:r>
          </w:p>
        </w:tc>
        <w:tc>
          <w:tcPr>
            <w:tcW w:type="dxa" w:w="26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0.95286 (worse)</w:t>
            </w:r>
          </w:p>
        </w:tc>
      </w:tr>
      <w:tr>
        <w:trPr>
          <w:cantSplit/>
        </w:trPr>
        <w:tc>
          <w:tcPr>
            <w:tcW w:type="dxa" w:w="3638"/>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MLP, one hidden layer</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0.962 (worse)</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0.899 (better)</w:t>
            </w:r>
          </w:p>
        </w:tc>
        <w:tc>
          <w:tcPr>
            <w:tcW w:type="dxa" w:w="26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0.91393 (worse)</w:t>
            </w:r>
          </w:p>
        </w:tc>
      </w:tr>
      <w:tr>
        <w:trPr>
          <w:cantSplit/>
        </w:trPr>
        <w:tc>
          <w:tcPr>
            <w:tcW w:type="dxa" w:w="3638"/>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XGBoost + MLP rank blend (70/30)</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0.992 (worse)</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0.888 (better)</w:t>
            </w:r>
          </w:p>
        </w:tc>
        <w:tc>
          <w:tcPr>
            <w:tcW w:type="dxa" w:w="26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0.95098 (worse)</w:t>
            </w:r>
          </w:p>
        </w:tc>
      </w:tr>
      <w:tr>
        <w:trPr>
          <w:cantSplit/>
        </w:trPr>
        <w:tc>
          <w:tcPr>
            <w:tcW w:type="dxa" w:w="3638"/>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Random Forest + XGBoost blend (50/50)</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0.998 (better)</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0.825 (worse)</w:t>
            </w:r>
          </w:p>
        </w:tc>
        <w:tc>
          <w:tcPr>
            <w:tcW w:type="dxa" w:w="26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Worse</w:t>
            </w:r>
          </w:p>
        </w:tc>
      </w:tr>
      <w:tr>
        <w:trPr>
          <w:cantSplit/>
        </w:trPr>
        <w:tc>
          <w:tcPr>
            <w:tcW w:type="dxa" w:w="3638"/>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val="false"/>
            </w:pPr>
            <w:r>
              <w:rPr>
                <w:sz w:val="18"/>
                <w:szCs w:val="18"/>
              </w:rPr>
              <w:t xml:space="preserve">Logistic Regression</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val="false"/>
            </w:pPr>
            <w:r>
              <w:rPr>
                <w:sz w:val="18"/>
                <w:szCs w:val="18"/>
              </w:rPr>
              <w:t xml:space="preserve">0.869 (worse)</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val="false"/>
            </w:pPr>
            <w:r>
              <w:rPr>
                <w:sz w:val="18"/>
                <w:szCs w:val="18"/>
              </w:rPr>
              <w:t xml:space="preserve">—</w:t>
            </w:r>
          </w:p>
        </w:tc>
        <w:tc>
          <w:tcPr>
            <w:tcW w:type="dxa" w:w="26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val="false"/>
            </w:pPr>
            <w:r>
              <w:rPr>
                <w:sz w:val="18"/>
                <w:szCs w:val="18"/>
              </w:rPr>
              <w:t xml:space="preserve">—</w:t>
            </w:r>
          </w:p>
        </w:tc>
      </w:tr>
    </w:tbl>
    <w:p>
      <w:pPr>
        <w:spacing w:after="100" w:before="40"/>
        <w:jc w:val="left"/>
      </w:pPr>
      <w:r>
        <w:rPr>
          <w:color w:val="52514E"/>
          <w:sz w:val="18"/>
          <w:szCs w:val="18"/>
        </w:rPr>
        <w:t xml:space="preserve">Table 1. ROC-AUC of the main candidates; "better/worse" is relative to the XGBoost recipe on the same split. XGBoost validation uses all 85 features; other figures were recorded at the time of each experiment. "—" = not measured: once the adjacent split saturated, tuning experiments were scored on the gap-matched split only, and Logistic Regression was never submitted.</w:t>
      </w:r>
    </w:p>
    <w:p>
      <w:pPr>
        <w:spacing w:after="80" w:line="240"/>
      </w:pPr>
      <w:r>
        <w:rPr>
          <w:b/>
          <w:bCs/>
        </w:rPr>
        <w:t xml:space="preserve">Logistic Regression</w:t>
      </w:r>
      <w:r>
        <w:t xml:space="preserve"> was far weaker, so the boundary between licit and illicit is strongly non-linear. </w:t>
      </w:r>
      <w:r>
        <w:rPr>
          <w:b/>
          <w:bCs/>
        </w:rPr>
        <w:t xml:space="preserve">Random Forest</w:t>
      </w:r>
      <w:r>
        <w:t xml:space="preserve"> was the most precise baseline (illicit precision 0.988) but missed over a quarter of illicit transactions and degraded fastest away from the training period. </w:t>
      </w:r>
      <w:r>
        <w:rPr>
          <w:b/>
          <w:bCs/>
        </w:rPr>
        <w:t xml:space="preserve">LightGBM</w:t>
      </w:r>
      <w:r>
        <w:t xml:space="preserve"> edged XGBoost on the adjacent split, but even its best tuned versions lost on the leaderboard. </w:t>
      </w:r>
      <w:r>
        <w:rPr>
          <w:b/>
          <w:bCs/>
        </w:rPr>
        <w:t xml:space="preserve">The MLP</w:t>
      </w:r>
      <w:r>
        <w:t xml:space="preserve"> ranked transactions very differently from XGBoost (rank correlation 0.68 on the test set), yet it was too weak for a blend to help; a deeper two-layer network did worse still. Ensembles with LightGBM gained nothing because the two models agreed closely (correlation 0.94).</w:t>
      </w:r>
    </w:p>
    <w:p>
      <w:pPr>
        <w:spacing w:after="80" w:line="240"/>
      </w:pPr>
      <w:r>
        <w:rPr>
          <w:b/>
          <w:bCs/>
        </w:rPr>
        <w:t xml:space="preserve">Final strategy.</w:t>
      </w:r>
      <w:r>
        <w:t xml:space="preserve"> We accepted a change only when validation supported it and the leaderboard confirmed it. The </w:t>
      </w:r>
      <w:r>
        <w:rPr>
          <w:b/>
          <w:bCs/>
        </w:rPr>
        <w:t xml:space="preserve">final submission</w:t>
      </w:r>
      <w:r>
        <w:t xml:space="preserve"> is the regularised XGBoost above, trained on all 31,235 labelled transactions with class and recency weighting (half-life 10), using the top 45 features by SHAP.</w:t>
      </w:r>
    </w:p>
    <w:p>
      <w:pPr>
        <w:pStyle w:val="Heading1"/>
        <w:keepNext/>
        <w:spacing w:after="60" w:before="160"/>
      </w:pPr>
      <w:r>
        <w:t xml:space="preserve">3. Results and Discussion</w:t>
      </w:r>
    </w:p>
    <w:p>
      <w:pPr>
        <w:keepNext/>
        <w:spacing w:after="0" w:before="60"/>
        <w:jc w:val="center"/>
      </w:pPr>
      <w:r>
        <w:drawing>
          <wp:inline distT="0" distB="0" distL="0" distR="0">
            <wp:extent cx="4286250" cy="22098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286250" cy="2209800"/>
                    </a:xfrm>
                    <a:prstGeom prst="rect">
                      <a:avLst/>
                    </a:prstGeom>
                  </pic:spPr>
                </pic:pic>
              </a:graphicData>
            </a:graphic>
          </wp:inline>
        </w:drawing>
      </w:r>
    </w:p>
    <w:p>
      <w:pPr>
        <w:spacing w:after="100" w:before="40"/>
        <w:jc w:val="left"/>
      </w:pPr>
      <w:r>
        <w:rPr>
          <w:color w:val="52514E"/>
          <w:sz w:val="18"/>
          <w:szCs w:val="18"/>
        </w:rPr>
        <w:t xml:space="preserve">Figure 3. Public leaderboard ROC-AUC of our scored submissions.</w:t>
      </w:r>
    </w:p>
    <w:p>
      <w:pPr>
        <w:spacing w:after="80" w:line="240"/>
      </w:pPr>
      <w:r>
        <w:rPr>
          <w:b/>
          <w:bCs/>
        </w:rPr>
        <w:t xml:space="preserve">Drift explains the gap between validation and leaderboard.</w:t>
      </w:r>
      <w:r>
        <w:t xml:space="preserve"> Models scoring ≈ 0.998 on the adjacent split scored 0.94–0.95 on the leaderboard. A classifier trained to tell early from late time steps using only the features reached ROC-AUC 1.0, and both tree and linear models lost accuracy as the validation window moved further from training (e.g. Logistic Regression 0.875 → 0.818). The test period also spans the shutdown of a major dark market (around step 43 in the original Elliptic study), a shift no training data covers. Recency weighting, which lets the model rely more on recent behaviour, was therefore the most valuable change.</w:t>
      </w:r>
    </w:p>
    <w:p>
      <w:pPr>
        <w:spacing w:after="80" w:line="240"/>
      </w:pPr>
      <w:r>
        <w:rPr>
          <w:b/>
          <w:bCs/>
        </w:rPr>
        <w:t xml:space="preserve">Neither validation split was reliable on its own</w:t>
      </w:r>
      <w:r>
        <w:t xml:space="preserve"> (Table 1). The gap-matched split was right about training choices (recency weighting, the half-life) and about the Random Forest blend, which the adjacent split favoured, but it favoured every more flexible model, and all of them lost on the leaderboard. With one window of about 4,900 rows, differences of 0.01–0.02 are within noise, and a 72-configuration grid will find a model that fits that window's quirks. The adjacent split is near its ceiling, yet it correctly predicted the MLP's loss (−0.035 on validation, −0.041 on the leaderboard). We therefore used the gap-matched split for training choices, the adjacent split as a check on model families, and the leaderboard as the final arbiter. Across all experiments, more regularised models held up better.</w:t>
      </w:r>
    </w:p>
    <w:p>
      <w:pPr>
        <w:spacing w:after="80" w:line="240"/>
      </w:pPr>
      <w:r>
        <w:rPr>
          <w:b/>
          <w:bCs/>
        </w:rPr>
        <w:t xml:space="preserve">What drives the model.</w:t>
      </w:r>
      <w:r>
        <w:t xml:space="preserve"> By SHAP (Figure 4), two anonymised features dominate (</w:t>
      </w:r>
      <w:r>
        <w:rPr>
          <w:rFonts w:ascii="Consolas" w:cs="Consolas" w:eastAsia="Consolas" w:hAnsi="Consolas"/>
          <w:sz w:val="20"/>
          <w:szCs w:val="20"/>
        </w:rPr>
        <w:t xml:space="preserve">feat_53</w:t>
      </w:r>
      <w:r>
        <w:t xml:space="preserve"> and </w:t>
      </w:r>
      <w:r>
        <w:rPr>
          <w:rFonts w:ascii="Consolas" w:cs="Consolas" w:eastAsia="Consolas" w:hAnsi="Consolas"/>
          <w:sz w:val="20"/>
          <w:szCs w:val="20"/>
        </w:rPr>
        <w:t xml:space="preserve">feat_59</w:t>
      </w:r>
      <w:r>
        <w:t xml:space="preserve">, about 12% and 11% of total impact). Six of the 11 graph features made the final 45, together about 5% of total impact, yet adding them raised the leaderboard score. PageRank barely depends on the time step, but community size is partly a proxy for the period (45% of its variance), a hidden-clock risk under drift.</w:t>
      </w:r>
    </w:p>
    <w:p>
      <w:pPr>
        <w:spacing w:after="80" w:line="240"/>
      </w:pPr>
      <w:r>
        <w:rPr>
          <w:b/>
          <w:bCs/>
        </w:rPr>
        <w:t xml:space="preserve">Better communities did not mean better features.</w:t>
      </w:r>
      <w:r>
        <w:t xml:space="preserve"> Louvain is known to merge small groups into very large communities (the resolution limit of modularity); here the typical transaction sat in a community of about 3,200. Running the Leiden algorithm separately within each time step fixed this (typical size 89) and made community size far less time-dependent (21%), but validation was essentially unchanged and the leaderboard score did not improve, so we kept Louvain. Removing the most time-revealing features also lowered the score: drifting features can still carry signal.</w:t>
      </w:r>
    </w:p>
    <w:p>
      <w:pPr>
        <w:keepNext/>
        <w:spacing w:after="0" w:before="60"/>
        <w:jc w:val="center"/>
      </w:pPr>
      <w:r>
        <w:drawing>
          <wp:inline distT="0" distB="0" distL="0" distR="0">
            <wp:extent cx="3238500" cy="22764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238500" cy="2276475"/>
                    </a:xfrm>
                    <a:prstGeom prst="rect">
                      <a:avLst/>
                    </a:prstGeom>
                  </pic:spPr>
                </pic:pic>
              </a:graphicData>
            </a:graphic>
          </wp:inline>
        </w:drawing>
      </w:r>
    </w:p>
    <w:p>
      <w:pPr>
        <w:spacing w:after="100" w:before="40"/>
        <w:jc w:val="left"/>
      </w:pPr>
      <w:r>
        <w:rPr>
          <w:color w:val="52514E"/>
          <w:sz w:val="18"/>
          <w:szCs w:val="18"/>
        </w:rPr>
        <w:t xml:space="preserve">Figure 4. Top 15 features of the final model by share of total mean |SHAP|.</w:t>
      </w:r>
    </w:p>
    <w:p>
      <w:pPr>
        <w:spacing w:after="80" w:line="240"/>
      </w:pPr>
      <w:r>
        <w:rPr>
          <w:b/>
          <w:bCs/>
        </w:rPr>
        <w:t xml:space="preserve">Limitations.</w:t>
      </w:r>
      <w:r>
        <w:t xml:space="preserve"> Each validation split is a single window; more than a dozen leaderboard submissions risk overfitting its public portion, and the final choice (0.95483 vs. 0.95430) rests on a difference of that size. The features are anonymised, which limits domain interpretation, and betweenness was estimated by sampling.</w:t>
      </w:r>
    </w:p>
    <w:p>
      <w:pPr>
        <w:pStyle w:val="Heading1"/>
        <w:keepNext/>
        <w:spacing w:after="60" w:before="160"/>
      </w:pPr>
      <w:r>
        <w:t xml:space="preserve">4. Conclusion and Reflection</w:t>
      </w:r>
    </w:p>
    <w:p>
      <w:pPr>
        <w:spacing w:after="80" w:line="240"/>
      </w:pPr>
      <w:r>
        <w:t xml:space="preserve">We built a recency-weighted XGBoost model with redundancy- and VIF-based feature selection, label-free graph features and SHAP-based reduction, reaching a public leaderboard ROC-AUC of 0.95483. Recency weighting produced the largest gain and graph features the second, while more flexible models (LightGBM, a neural network), heavier tuning, ensembles, pseudo-labels and cleaner communities did not beat a regularised XGBoost.</w:t>
      </w:r>
    </w:p>
    <w:p>
      <w:pPr>
        <w:spacing w:after="80" w:line="240"/>
      </w:pPr>
      <w:r>
        <w:rPr>
          <w:b/>
          <w:bCs/>
        </w:rPr>
        <w:t xml:space="preserve">What worked</w:t>
      </w:r>
      <w:r>
        <w:t xml:space="preserve"> was disciplined, time-aware validation: two splits testing different distances, with the leaderboard as a final check, kept us from adopting changes that only one split supported. </w:t>
      </w:r>
      <w:r>
        <w:rPr>
          <w:b/>
          <w:bCs/>
        </w:rPr>
        <w:t xml:space="preserve">What could be improved:</w:t>
      </w:r>
      <w:r>
        <w:t xml:space="preserve"> rolling-origin validation over several windows would give more stable estimates and would have flagged misleading tuning results earlier, and features normalised within each period could reduce drift.</w:t>
      </w:r>
    </w:p>
    <w:p>
      <w:pPr>
        <w:spacing w:after="80" w:line="240"/>
      </w:pPr>
      <w:r>
        <w:t xml:space="preserve">The project changed how we think about AI-driven fraud detection. Fraud is adversarial: as detection improves, criminals adapt, so accuracy decays over time. A production system needs time-aware validation, monitoring and regular retraining rather than a one-off model, and negative results deserve as much attention as positive ones, because understanding why an idea fails often reveals more about the data.</w:t>
      </w:r>
    </w:p>
    <w:p>
      <w:pPr>
        <w:spacing w:after="80" w:line="240"/>
      </w:pPr>
      <w:r>
        <w:rPr>
          <w:i/>
          <w:iCs/>
        </w:rPr>
        <w:t xml:space="preserve">Code and reproducibility:</w:t>
      </w:r>
      <w:r>
        <w:t xml:space="preserve"> notebooks </w:t>
      </w:r>
      <w:r>
        <w:rPr>
          <w:rFonts w:ascii="Consolas" w:cs="Consolas" w:eastAsia="Consolas" w:hAnsi="Consolas"/>
          <w:sz w:val="20"/>
          <w:szCs w:val="20"/>
        </w:rPr>
        <w:t xml:space="preserve">01</w:t>
      </w:r>
      <w:r>
        <w:t xml:space="preserve">–</w:t>
      </w:r>
      <w:r>
        <w:rPr>
          <w:rFonts w:ascii="Consolas" w:cs="Consolas" w:eastAsia="Consolas" w:hAnsi="Consolas"/>
          <w:sz w:val="20"/>
          <w:szCs w:val="20"/>
        </w:rPr>
        <w:t xml:space="preserve">05</w:t>
      </w:r>
      <w:r>
        <w:t xml:space="preserve"> at </w:t>
      </w:r>
      <w:hyperlink w:history="1" r:id="rIdfu_eyhe0-tq3wvlgam1bq">
        <w:r>
          <w:rPr>
            <w:rStyle w:val="Hyperlink"/>
            <w:color w:val="1F5FBF"/>
            <w:u w:val="single"/>
          </w:rPr>
          <w:t xml:space="preserve">https://github.com/timc5nn/BT4012</w:t>
        </w:r>
      </w:hyperlink>
      <w:r>
        <w:t xml:space="preserve">; running </w:t>
      </w:r>
      <w:r>
        <w:rPr>
          <w:rFonts w:ascii="Consolas" w:cs="Consolas" w:eastAsia="Consolas" w:hAnsi="Consolas"/>
          <w:sz w:val="20"/>
          <w:szCs w:val="20"/>
        </w:rPr>
        <w:t xml:space="preserve">02_preprocessing</w:t>
      </w:r>
      <w:r>
        <w:t xml:space="preserve"> then </w:t>
      </w:r>
      <w:r>
        <w:rPr>
          <w:rFonts w:ascii="Consolas" w:cs="Consolas" w:eastAsia="Consolas" w:hAnsi="Consolas"/>
          <w:sz w:val="20"/>
          <w:szCs w:val="20"/>
        </w:rPr>
        <w:t xml:space="preserve">03_supervised_learning</w:t>
      </w:r>
      <w:r>
        <w:t xml:space="preserve"> reproduces the final submission exactly (package versions in </w:t>
      </w:r>
      <w:r>
        <w:rPr>
          <w:rFonts w:ascii="Consolas" w:cs="Consolas" w:eastAsia="Consolas" w:hAnsi="Consolas"/>
          <w:sz w:val="20"/>
          <w:szCs w:val="20"/>
        </w:rPr>
        <w:t xml:space="preserve">requirements.txt</w:t>
      </w:r>
      <w:r>
        <w:t xml:space="preserve">).</w:t>
      </w:r>
    </w:p>
    <w:sectPr>
      <w:footerReference w:type="default" r:id="rId6"/>
      <w:pgSz w:w="11906" w:h="16838" w:orient="portrait"/>
      <w:pgMar w:top="1134" w:right="1134" w:bottom="1134" w:left="1134" w:header="708" w:footer="5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2514E"/>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160"/>
      <w:outlineLvl w:val="0"/>
    </w:pPr>
    <w:rPr>
      <w:rFonts w:ascii="Calibri" w:cs="Calibri" w:eastAsia="Calibri" w:hAnsi="Calibri"/>
      <w:b/>
      <w:bCs/>
      <w:color w:val="1F3A5F"/>
      <w:sz w:val="26"/>
      <w:szCs w:val="26"/>
    </w:rPr>
  </w:style>
  <w:style w:type="paragraph" w:styleId="Heading2">
    <w:name w:val="Heading 2"/>
    <w:basedOn w:val="Normal"/>
    <w:next w:val="Normal"/>
    <w:qFormat/>
    <w:pPr>
      <w:spacing w:after="40" w:before="120"/>
      <w:outlineLvl w:val="1"/>
    </w:pPr>
    <w:rPr>
      <w:rFonts w:ascii="Calibri" w:cs="Calibri" w:eastAsia="Calibri" w:hAnsi="Calibri"/>
      <w:b/>
      <w:bCs/>
      <w:color w:val="1F3A5F"/>
      <w:sz w:val="23"/>
      <w:szCs w:val="23"/>
    </w:rPr>
  </w:style>
  <w:style w:type="paragraph" w:styleId="Heading3">
    <w:name w:val="Heading 3"/>
    <w:basedOn w:val="Normal"/>
    <w:next w:val="Normal"/>
    <w:qFormat/>
    <w:pPr>
      <w:spacing w:after="80" w:before="160"/>
      <w:outlineLvl w:val="2"/>
    </w:pPr>
    <w:rPr>
      <w:rFonts w:ascii="Calibri" w:cs="Calibri" w:eastAsia="Calibri" w:hAnsi="Calibri"/>
      <w:b/>
      <w:bCs/>
      <w:color w:val="333333"/>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mncg-omyi22kpkicctxnc" Type="http://schemas.openxmlformats.org/officeDocument/2006/relationships/hyperlink" Target="https://github.com/timc5nn/BT4012" TargetMode="External"/><Relationship Id="rIdfu_eyhe0-tq3wvlgam1bq" Type="http://schemas.openxmlformats.org/officeDocument/2006/relationships/hyperlink" Target="https://github.com/timc5nn/BT4012" TargetMode="External"/><Relationship Id="rId10" Type="http://schemas.openxmlformats.org/officeDocument/2006/relationships/image" Target="media/c4d163a9a483c1302b7f5a46cfaf56e6956f2b71.png"/><Relationship Id="rId11" Type="http://schemas.openxmlformats.org/officeDocument/2006/relationships/image" Target="media/036b9b1c1611a130da080e6afe096c66cd92221f.png"/><Relationship Id="rId12" Type="http://schemas.openxmlformats.org/officeDocument/2006/relationships/image" Target="media/5ca107975b9414ec19b0d20b9656f92ac92f2323.png"/><Relationship Id="rId13" Type="http://schemas.openxmlformats.org/officeDocument/2006/relationships/image" Target="media/5dca9ecf922ffb47b9ea31664b706e4563e55157.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2026-10-18T11:29:21.470Z</dcterms:created>
  <dcterms:modified xsi:type="dcterms:W3CDTF">2026-10-18T11:29:21.476Z</dcterms:modified>
</cp:coreProperties>
</file>

<file path=docProps/custom.xml><?xml version="1.0" encoding="utf-8"?>
<Properties xmlns="http://schemas.openxmlformats.org/officeDocument/2006/custom-properties" xmlns:vt="http://schemas.openxmlformats.org/officeDocument/2006/docPropsVTypes"/>
</file>