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6"/>
          <w:szCs w:val="36"/>
        </w:rPr>
        <w:t xml:space="preserve">Detecting Illicit Bitcoin Transactions under Temporal Drift</w:t>
      </w:r>
    </w:p>
    <w:p>
      <w:pPr>
        <w:spacing w:after="40"/>
      </w:pPr>
      <w:r>
        <w:rPr>
          <w:color w:val="52514E"/>
          <w:sz w:val="22"/>
          <w:szCs w:val="22"/>
        </w:rPr>
        <w:t xml:space="preserve">BT4012 Fraud Analytics — Competition Report</w:t>
      </w:r>
    </w:p>
    <w:p>
      <w:pPr>
        <w:spacing w:after="40"/>
      </w:pPr>
      <w:r>
        <w:rPr>
          <w:color w:val="52514E"/>
          <w:sz w:val="22"/>
          <w:szCs w:val="22"/>
        </w:rPr>
        <w:t xml:space="preserve">Tim Chua Siam Mgian · A0273128E · Kaggle team: </w:t>
      </w:r>
      <w:r>
        <w:rPr>
          <w:color w:val="52514E"/>
          <w:sz w:val="22"/>
          <w:szCs w:val="22"/>
          <w:highlight w:val="yellow"/>
        </w:rPr>
        <w:t xml:space="preserve">[Team name]</w:t>
      </w:r>
    </w:p>
    <w:p>
      <w:pPr>
        <w:pStyle w:val="Heading1"/>
        <w:spacing w:after="120" w:before="280"/>
      </w:pPr>
      <w:r>
        <w:t xml:space="preserve">1. Introduction</w:t>
      </w:r>
    </w:p>
    <w:p>
      <w:pPr>
        <w:spacing w:after="120" w:line="276"/>
      </w:pPr>
      <w:r>
        <w:t xml:space="preserve">The competition asks participants to estimate, for each Bitcoin transaction in a held-out test set, the probability that it is </w:t>
      </w:r>
      <w:r>
        <w:rPr>
          <w:b/>
          <w:bCs/>
        </w:rPr>
        <w:t xml:space="preserve">illicit</w:t>
      </w:r>
      <w:r>
        <w:t xml:space="preserve"> (linked to scams, ransomware, darknet markets or other criminal activity) rather than licit. Submissions are ranked by the area under the ROC curve (ROC-AUC).</w:t>
      </w:r>
    </w:p>
    <w:p>
      <w:pPr>
        <w:spacing w:after="120" w:line="276"/>
      </w:pPr>
      <w:r>
        <w:t xml:space="preserve">The problem sits at the core of anti-money-laundering (AML) work on public blockchains. Bitcoin is pseudonymous rather than anonymous: every transaction is public and linked to the transactions that funded it and that it funds, so money can in principle be followed through the network. In practice the volume is far too large for manual review, labels are scarce because confirming a transaction as illicit requires outside intelligence, and criminals change their behaviour to evade detection. A model that ranks transactions by risk lets investigators spend their limited time on the cases most likely to matter.</w:t>
      </w:r>
    </w:p>
    <w:p>
      <w:pPr>
        <w:spacing w:after="120" w:line="276"/>
      </w:pPr>
      <w:r>
        <w:t xml:space="preserve">The data reflect these difficulties. The training set contains 141,772 transactions observed over 35 time steps, each described by 165 anonymised numeric features, but only 31,235 (22%) carry a label, and only 3,644 of those (11.7%) are illicit. An edge list of 234,355 payment flows links transactions into a graph. All 15,329 test transactions come from later time steps (36–49) than any training data, so the task is a forecasting problem: the model must recognise illicit activity in a period it has never seen.</w:t>
      </w:r>
    </w:p>
    <w:p>
      <w:pPr>
        <w:spacing w:after="120" w:line="276"/>
      </w:pPr>
      <w:r>
        <w:t xml:space="preserve">Our approach rested on three ideas:</w:t>
      </w:r>
    </w:p>
    <w:p>
      <w:pPr>
        <w:pStyle w:val="ListParagraph"/>
        <w:numPr>
          <w:ilvl w:val="0"/>
          <w:numId w:val="2"/>
        </w:numPr>
        <w:spacing w:after="60" w:line="276"/>
      </w:pPr>
      <w:r>
        <w:rPr>
          <w:b/>
          <w:bCs/>
        </w:rPr>
        <w:t xml:space="preserve">Validate the way the model will be used.</w:t>
      </w:r>
      <w:r>
        <w:t xml:space="preserve"> Because the test set lies strictly later in time, every validation split was temporal, never random.</w:t>
      </w:r>
    </w:p>
    <w:p>
      <w:pPr>
        <w:pStyle w:val="ListParagraph"/>
        <w:numPr>
          <w:ilvl w:val="0"/>
          <w:numId w:val="2"/>
        </w:numPr>
        <w:spacing w:after="60" w:line="276"/>
      </w:pPr>
      <w:r>
        <w:rPr>
          <w:b/>
          <w:bCs/>
        </w:rPr>
        <w:t xml:space="preserve">Treat temporal drift as the central problem.</w:t>
      </w:r>
      <w:r>
        <w:t xml:space="preserve"> Our first model scored ROC-AUC ≈ 0.998 on validation but only 0.940 on the leaderboard. Diagnosing that gap (the profile of illicit transactions drifts over time) shaped most later decisions, in particular recency-weighted training.</w:t>
      </w:r>
    </w:p>
    <w:p>
      <w:pPr>
        <w:pStyle w:val="ListParagraph"/>
        <w:numPr>
          <w:ilvl w:val="0"/>
          <w:numId w:val="2"/>
        </w:numPr>
        <w:spacing w:after="60" w:line="276"/>
      </w:pPr>
      <w:r>
        <w:rPr>
          <w:b/>
          <w:bCs/>
        </w:rPr>
        <w:t xml:space="preserve">Use the transaction graph.</w:t>
      </w:r>
      <w:r>
        <w:t xml:space="preserve"> Graph features such as degree, centrality and community membership describe a transaction's position in the payment network, information the anonymised features do not fully capture.</w:t>
      </w:r>
    </w:p>
    <w:p>
      <w:pPr>
        <w:spacing w:after="120" w:line="276"/>
      </w:pPr>
      <w:r>
        <w:t xml:space="preserve">Our final submission is a gradient-boosted tree model (XGBoost) trained on the genuine labels only, with recency-weighted training and regularised hyperparameters. It uses the 45 most influential of 85 candidate features (selected by SHAP), which include label-free graph features. It scores </w:t>
      </w:r>
      <w:r>
        <w:rPr>
          <w:b/>
          <w:bCs/>
        </w:rPr>
        <w:t xml:space="preserve">ROC-AUC 0.95483</w:t>
      </w:r>
      <w:r>
        <w:t xml:space="preserve"> on the public leaderboard, up from 0.940 for our first model. We also report the experiments that did not help: semi-supervised pseudo-labels, LightGBM, model ensembles, drift-based feature removal and more aggressive tuning. We include the reasons we believe they failed, since these shaped our understanding as much as the successes.</w:t>
      </w:r>
    </w:p>
    <w:p>
      <w:pPr>
        <w:pStyle w:val="Heading1"/>
        <w:spacing w:after="120" w:before="280"/>
      </w:pPr>
      <w:r>
        <w:t xml:space="preserve">2. Methodology</w:t>
      </w:r>
    </w:p>
    <w:p>
      <w:pPr>
        <w:pStyle w:val="Heading2"/>
        <w:spacing w:after="100" w:before="220"/>
      </w:pPr>
      <w:r>
        <w:t xml:space="preserve">2.1 Data Preprocessing and Feature Engineering</w:t>
      </w:r>
    </w:p>
    <w:p>
      <w:pPr>
        <w:pStyle w:val="Heading3"/>
        <w:spacing w:after="80" w:before="160"/>
      </w:pPr>
      <w:r>
        <w:t xml:space="preserve">Data quality and missing values</w:t>
      </w:r>
    </w:p>
    <w:p>
      <w:pPr>
        <w:spacing w:after="120" w:line="276"/>
      </w:pPr>
      <w:r>
        <w:t xml:space="preserve">The 165 features contain no missing values in either the training or the test set. The only missing information is the label itself: 110,537 training transactions (78%) are unlabelled. These rows were excluded from supervised training; a semi-supervised attempt to use them is described below. The </w:t>
      </w:r>
      <w:r>
        <w:rPr>
          <w:rFonts w:ascii="Consolas" w:cs="Consolas" w:eastAsia="Consolas" w:hAnsi="Consolas"/>
          <w:sz w:val="20"/>
          <w:szCs w:val="20"/>
        </w:rPr>
        <w:t xml:space="preserve">time_step</w:t>
      </w:r>
      <w:r>
        <w:t xml:space="preserve"> column was never used as a model input, because every test transaction's time step (36–49) lies outside the training range (1–35) and tree-based models cannot extrapolate beyond the values they were trained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13"/>
        <w:gridCol w:w="2713"/>
      </w:tblGrid>
      <w:tr>
        <w:trPr>
          <w:tblHeader/>
        </w:trPr>
        <w:tc>
          <w:tcPr>
            <w:tcW w:type="dxa" w:w="360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Item</w:t>
            </w:r>
          </w:p>
        </w:tc>
        <w:tc>
          <w:tcPr>
            <w:tcW w:type="dxa" w:w="2713"/>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Training set</w:t>
            </w:r>
          </w:p>
        </w:tc>
        <w:tc>
          <w:tcPr>
            <w:tcW w:type="dxa" w:w="2713"/>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Test set</w:t>
            </w:r>
          </w:p>
        </w:tc>
      </w:tr>
      <w:tr>
        <w:tc>
          <w:tcPr>
            <w:tcW w:type="dxa" w:w="36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Transactions</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141,772</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15,329</w:t>
            </w:r>
          </w:p>
        </w:tc>
      </w:tr>
      <w:tr>
        <w:tc>
          <w:tcPr>
            <w:tcW w:type="dxa" w:w="36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Time steps</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1–35</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36–49</w:t>
            </w:r>
          </w:p>
        </w:tc>
      </w:tr>
      <w:tr>
        <w:tc>
          <w:tcPr>
            <w:tcW w:type="dxa" w:w="36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Labelled</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31,235 (22%)</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w:t>
            </w:r>
          </w:p>
        </w:tc>
      </w:tr>
      <w:tr>
        <w:tc>
          <w:tcPr>
            <w:tcW w:type="dxa" w:w="36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Illicit among labelled</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3,644 (11.7%)</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w:t>
            </w:r>
          </w:p>
        </w:tc>
      </w:tr>
      <w:tr>
        <w:tc>
          <w:tcPr>
            <w:tcW w:type="dxa" w:w="36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Anonymised features</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165</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165</w:t>
            </w:r>
          </w:p>
        </w:tc>
      </w:tr>
      <w:tr>
        <w:tc>
          <w:tcPr>
            <w:tcW w:type="dxa" w:w="36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Missing feature values</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w:t>
            </w:r>
          </w:p>
        </w:tc>
        <w:tc>
          <w:tcPr>
            <w:tcW w:type="dxa" w:w="2713"/>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w:t>
            </w:r>
          </w:p>
        </w:tc>
      </w:tr>
    </w:tbl>
    <w:p>
      <w:pPr>
        <w:spacing w:after="200" w:before="60"/>
        <w:jc w:val="left"/>
      </w:pPr>
      <w:r>
        <w:rPr>
          <w:color w:val="52514E"/>
          <w:sz w:val="18"/>
          <w:szCs w:val="18"/>
        </w:rPr>
        <w:t xml:space="preserve">Table 1. Dataset summary.</w:t>
      </w:r>
    </w:p>
    <w:p>
      <w:pPr>
        <w:spacing w:after="120" w:line="276"/>
      </w:pPr>
      <w:r>
        <w:t xml:space="preserve">Exploratory analysis showed that the illicit share is far from stable over time (Figure 1): it ranges from 0.4% to 36% between time steps, averaging 5.5% over the first ten and 17.1% over the last ten. This was the first sign that the relationship between features and labels changes over time.</w:t>
      </w:r>
    </w:p>
    <w:p>
      <w:pPr>
        <w:spacing w:after="40" w:before="120"/>
      </w:pPr>
      <w:r>
        <w:drawing>
          <wp:inline distT="0" distB="0" distL="0" distR="0">
            <wp:extent cx="5715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24100"/>
                    </a:xfrm>
                    <a:prstGeom prst="rect">
                      <a:avLst/>
                    </a:prstGeom>
                  </pic:spPr>
                </pic:pic>
              </a:graphicData>
            </a:graphic>
          </wp:inline>
        </w:drawing>
      </w:r>
    </w:p>
    <w:p>
      <w:pPr>
        <w:spacing w:after="200" w:before="60"/>
        <w:jc w:val="left"/>
      </w:pPr>
      <w:r>
        <w:rPr>
          <w:color w:val="52514E"/>
          <w:sz w:val="18"/>
          <w:szCs w:val="18"/>
        </w:rPr>
        <w:t xml:space="preserve">Figure 1. Share of labelled transactions that are illicit, by time step. The shaded band is the validation window used for model comparison.</w:t>
      </w:r>
    </w:p>
    <w:p>
      <w:pPr>
        <w:pStyle w:val="Heading3"/>
        <w:spacing w:after="80" w:before="160"/>
      </w:pPr>
      <w:r>
        <w:t xml:space="preserve">Graph structure</w:t>
      </w:r>
    </w:p>
    <w:p>
      <w:pPr>
        <w:spacing w:after="120" w:line="276"/>
      </w:pPr>
      <w:r>
        <w:t xml:space="preserve">The edge list forms a graph of 203,769 transactions: the training and test transactions plus 46,668 additional unlabelled ones. Two structural facts shaped our graph features:</w:t>
      </w:r>
    </w:p>
    <w:p>
      <w:pPr>
        <w:pStyle w:val="ListParagraph"/>
        <w:numPr>
          <w:ilvl w:val="0"/>
          <w:numId w:val="2"/>
        </w:numPr>
        <w:spacing w:after="60" w:line="276"/>
      </w:pPr>
      <w:r>
        <w:rPr>
          <w:b/>
          <w:bCs/>
        </w:rPr>
        <w:t xml:space="preserve">The graph splits into exactly 49 disconnected components, one per time step.</w:t>
      </w:r>
      <w:r>
        <w:t xml:space="preserve"> All 175,918 edges between transactions with a known time step stay within a single time step.</w:t>
      </w:r>
    </w:p>
    <w:p>
      <w:pPr>
        <w:pStyle w:val="ListParagraph"/>
        <w:numPr>
          <w:ilvl w:val="0"/>
          <w:numId w:val="2"/>
        </w:numPr>
        <w:spacing w:after="60" w:line="276"/>
      </w:pPr>
      <w:r>
        <w:rPr>
          <w:b/>
          <w:bCs/>
        </w:rPr>
        <w:t xml:space="preserve">Test transactions are therefore never connected to a training transaction.</w:t>
      </w:r>
      <w:r>
        <w:t xml:space="preserve"> Any feature built from neighbours' labels (for example, "number of known illicit neighbours") would be zero for every test row while informative for training rows, creating a train/test mismatch. We therefore used only label-free graph features, which can be computed identically for training and test data.</w:t>
      </w:r>
    </w:p>
    <w:p>
      <w:pPr>
        <w:pStyle w:val="Heading3"/>
        <w:spacing w:after="80" w:before="160"/>
      </w:pPr>
      <w:r>
        <w:t xml:space="preserve">Engineered graph features</w:t>
      </w:r>
    </w:p>
    <w:p>
      <w:pPr>
        <w:spacing w:after="120" w:line="276"/>
      </w:pPr>
      <w:r>
        <w:t xml:space="preserve">We engineered four groups of features from the edge list (Table 2). All are computed without labels, so they are available for test transactions.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126"/>
      </w:tblGrid>
      <w:tr>
        <w:trPr>
          <w:tblHeader/>
        </w:trPr>
        <w:tc>
          <w:tcPr>
            <w:tcW w:type="dxa" w:w="150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Group</w:t>
            </w:r>
          </w:p>
        </w:tc>
        <w:tc>
          <w:tcPr>
            <w:tcW w:type="dxa" w:w="340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Features</w:t>
            </w:r>
          </w:p>
        </w:tc>
        <w:tc>
          <w:tcPr>
            <w:tcW w:type="dxa" w:w="4126"/>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Intuition</w:t>
            </w:r>
          </w:p>
        </w:tc>
      </w:tr>
      <w:tr>
        <w:tc>
          <w:tcPr>
            <w:tcW w:type="dxa" w:w="15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Degree</w:t>
            </w:r>
          </w:p>
        </w:tc>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rFonts w:ascii="Consolas" w:cs="Consolas" w:eastAsia="Consolas" w:hAnsi="Consolas"/>
                <w:sz w:val="16"/>
                <w:szCs w:val="16"/>
              </w:rPr>
              <w:t xml:space="preserve">total_degree</w:t>
            </w:r>
            <w:r>
              <w:rPr>
                <w:sz w:val="18"/>
                <w:szCs w:val="18"/>
              </w:rPr>
              <w:t xml:space="preserve"> (in + out), </w:t>
            </w:r>
            <w:r>
              <w:rPr>
                <w:rFonts w:ascii="Consolas" w:cs="Consolas" w:eastAsia="Consolas" w:hAnsi="Consolas"/>
                <w:sz w:val="16"/>
                <w:szCs w:val="16"/>
              </w:rPr>
              <w:t xml:space="preserve">degree_diff</w:t>
            </w:r>
            <w:r>
              <w:rPr>
                <w:sz w:val="18"/>
                <w:szCs w:val="18"/>
              </w:rPr>
              <w:t xml:space="preserve"> (out − in)</w:t>
            </w:r>
          </w:p>
        </w:tc>
        <w:tc>
          <w:tcPr>
            <w:tcW w:type="dxa" w:w="41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Consolidation services receive from many; structuring and fan-out send to many.</w:t>
            </w:r>
          </w:p>
        </w:tc>
      </w:tr>
      <w:tr>
        <w:tc>
          <w:tcPr>
            <w:tcW w:type="dxa" w:w="15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Centrality</w:t>
            </w:r>
          </w:p>
        </w:tc>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rFonts w:ascii="Consolas" w:cs="Consolas" w:eastAsia="Consolas" w:hAnsi="Consolas"/>
                <w:sz w:val="16"/>
                <w:szCs w:val="16"/>
              </w:rPr>
              <w:t xml:space="preserve">betweenness</w:t>
            </w:r>
            <w:r>
              <w:rPr>
                <w:sz w:val="18"/>
                <w:szCs w:val="18"/>
              </w:rPr>
              <w:t xml:space="preserve">, </w:t>
            </w:r>
            <w:r>
              <w:rPr>
                <w:rFonts w:ascii="Consolas" w:cs="Consolas" w:eastAsia="Consolas" w:hAnsi="Consolas"/>
                <w:sz w:val="16"/>
                <w:szCs w:val="16"/>
              </w:rPr>
              <w:t xml:space="preserve">closeness</w:t>
            </w:r>
            <w:r>
              <w:rPr>
                <w:sz w:val="18"/>
                <w:szCs w:val="18"/>
              </w:rPr>
              <w:t xml:space="preserve">, </w:t>
            </w:r>
            <w:r>
              <w:rPr>
                <w:rFonts w:ascii="Consolas" w:cs="Consolas" w:eastAsia="Consolas" w:hAnsi="Consolas"/>
                <w:sz w:val="16"/>
                <w:szCs w:val="16"/>
              </w:rPr>
              <w:t xml:space="preserve">pagerank</w:t>
            </w:r>
          </w:p>
        </w:tc>
        <w:tc>
          <w:tcPr>
            <w:tcW w:type="dxa" w:w="41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Bridges between groups, how quickly a transaction reaches others, and links to well-connected transactions.</w:t>
            </w:r>
          </w:p>
        </w:tc>
      </w:tr>
      <w:tr>
        <w:tc>
          <w:tcPr>
            <w:tcW w:type="dxa" w:w="15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Community</w:t>
            </w:r>
          </w:p>
        </w:tc>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rFonts w:ascii="Consolas" w:cs="Consolas" w:eastAsia="Consolas" w:hAnsi="Consolas"/>
                <w:sz w:val="16"/>
                <w:szCs w:val="16"/>
              </w:rPr>
              <w:t xml:space="preserve">community_size</w:t>
            </w:r>
            <w:r>
              <w:rPr>
                <w:sz w:val="18"/>
                <w:szCs w:val="18"/>
              </w:rPr>
              <w:t xml:space="preserve">, </w:t>
            </w:r>
            <w:r>
              <w:rPr>
                <w:rFonts w:ascii="Consolas" w:cs="Consolas" w:eastAsia="Consolas" w:hAnsi="Consolas"/>
                <w:sz w:val="16"/>
                <w:szCs w:val="16"/>
              </w:rPr>
              <w:t xml:space="preserve">community_density</w:t>
            </w:r>
            <w:r>
              <w:rPr>
                <w:sz w:val="18"/>
                <w:szCs w:val="18"/>
              </w:rPr>
              <w:t xml:space="preserve">, </w:t>
            </w:r>
            <w:r>
              <w:rPr>
                <w:rFonts w:ascii="Consolas" w:cs="Consolas" w:eastAsia="Consolas" w:hAnsi="Consolas"/>
                <w:sz w:val="16"/>
                <w:szCs w:val="16"/>
              </w:rPr>
              <w:t xml:space="preserve">community_internal_ratio</w:t>
            </w:r>
            <w:r>
              <w:rPr>
                <w:sz w:val="18"/>
                <w:szCs w:val="18"/>
              </w:rPr>
              <w:t xml:space="preserve"> (Louvain)</w:t>
            </w:r>
          </w:p>
        </w:tc>
        <w:tc>
          <w:tcPr>
            <w:tcW w:type="dxa" w:w="41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Small, dense, closed groups resemble laundering rings.</w:t>
            </w:r>
          </w:p>
        </w:tc>
      </w:tr>
      <w:tr>
        <w:tc>
          <w:tcPr>
            <w:tcW w:type="dxa" w:w="15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Neighbourhood</w:t>
            </w:r>
          </w:p>
        </w:tc>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rFonts w:ascii="Consolas" w:cs="Consolas" w:eastAsia="Consolas" w:hAnsi="Consolas"/>
                <w:sz w:val="16"/>
                <w:szCs w:val="16"/>
              </w:rPr>
              <w:t xml:space="preserve">flow_ratio</w:t>
            </w:r>
            <w:r>
              <w:rPr>
                <w:sz w:val="18"/>
                <w:szCs w:val="18"/>
              </w:rPr>
              <w:t xml:space="preserve">, </w:t>
            </w:r>
            <w:r>
              <w:rPr>
                <w:rFonts w:ascii="Consolas" w:cs="Consolas" w:eastAsia="Consolas" w:hAnsi="Consolas"/>
                <w:sz w:val="16"/>
                <w:szCs w:val="16"/>
              </w:rPr>
              <w:t xml:space="preserve">mean_neighbor_degree</w:t>
            </w:r>
            <w:r>
              <w:rPr>
                <w:sz w:val="18"/>
                <w:szCs w:val="18"/>
              </w:rPr>
              <w:t xml:space="preserve">, </w:t>
            </w:r>
            <w:r>
              <w:rPr>
                <w:rFonts w:ascii="Consolas" w:cs="Consolas" w:eastAsia="Consolas" w:hAnsi="Consolas"/>
                <w:sz w:val="16"/>
                <w:szCs w:val="16"/>
              </w:rPr>
              <w:t xml:space="preserve">max_neighbor_degree</w:t>
            </w:r>
            <w:r>
              <w:rPr>
                <w:sz w:val="18"/>
                <w:szCs w:val="18"/>
              </w:rPr>
              <w:t xml:space="preserve">, </w:t>
            </w:r>
            <w:r>
              <w:rPr>
                <w:rFonts w:ascii="Consolas" w:cs="Consolas" w:eastAsia="Consolas" w:hAnsi="Consolas"/>
                <w:sz w:val="16"/>
                <w:szCs w:val="16"/>
              </w:rPr>
              <w:t xml:space="preserve">hop2_reach</w:t>
            </w:r>
          </w:p>
        </w:tc>
        <w:tc>
          <w:tcPr>
            <w:tcW w:type="dxa" w:w="41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Direction of flow, attachment to hubs, size of the local neighbourhood.</w:t>
            </w:r>
          </w:p>
        </w:tc>
      </w:tr>
    </w:tbl>
    <w:p>
      <w:pPr>
        <w:spacing w:after="200" w:before="60"/>
        <w:jc w:val="left"/>
      </w:pPr>
      <w:r>
        <w:rPr>
          <w:color w:val="52514E"/>
          <w:sz w:val="18"/>
          <w:szCs w:val="18"/>
        </w:rPr>
        <w:t xml:space="preserve">Table 2. Engineered graph features.</w:t>
      </w:r>
    </w:p>
    <w:p>
      <w:pPr>
        <w:pStyle w:val="ListParagraph"/>
        <w:numPr>
          <w:ilvl w:val="0"/>
          <w:numId w:val="2"/>
        </w:numPr>
        <w:spacing w:after="60" w:line="276"/>
      </w:pPr>
      <w:r>
        <w:rPr>
          <w:b/>
          <w:bCs/>
        </w:rPr>
        <w:t xml:space="preserve">Degree.</w:t>
      </w:r>
      <w:r>
        <w:t xml:space="preserve"> In-degree, out-degree and their difference are linearly dependent, so only total degree and the difference were kept.</w:t>
      </w:r>
    </w:p>
    <w:p>
      <w:pPr>
        <w:pStyle w:val="ListParagraph"/>
        <w:numPr>
          <w:ilvl w:val="0"/>
          <w:numId w:val="2"/>
        </w:numPr>
        <w:spacing w:after="60" w:line="276"/>
      </w:pPr>
      <w:r>
        <w:rPr>
          <w:b/>
          <w:bCs/>
        </w:rPr>
        <w:t xml:space="preserve">Centrality.</w:t>
      </w:r>
      <w:r>
        <w:t xml:space="preserve"> Betweenness was estimated from 5,000 sampled source nodes, because exact betweenness on ~200,000 nodes is impractical in pure Python. Closeness was computed within each component. Eigenvector centrality was replaced by PageRank: on a graph of 49 disconnected components, eigenvector centrality is non-zero for only 2.2% of transactions (those in the largest component), whereas PageRank is well-defined on disconnected graphs.</w:t>
      </w:r>
    </w:p>
    <w:p>
      <w:pPr>
        <w:pStyle w:val="ListParagraph"/>
        <w:numPr>
          <w:ilvl w:val="0"/>
          <w:numId w:val="2"/>
        </w:numPr>
        <w:spacing w:after="60" w:line="276"/>
      </w:pPr>
      <w:r>
        <w:rPr>
          <w:b/>
          <w:bCs/>
        </w:rPr>
        <w:t xml:space="preserve">Community.</w:t>
      </w:r>
      <w:r>
        <w:t xml:space="preserve"> Louvain community detection (308 communities across the 49 time steps) groups densely connected transactions; each transaction then receives the size, edge density and share of internal edges of its community. Community size is partly a proxy for the period (the time step explains about 45% of its variance), a risk we return to in Section 3.</w:t>
      </w:r>
    </w:p>
    <w:p>
      <w:pPr>
        <w:pStyle w:val="ListParagraph"/>
        <w:numPr>
          <w:ilvl w:val="0"/>
          <w:numId w:val="2"/>
        </w:numPr>
        <w:spacing w:after="60" w:line="276"/>
      </w:pPr>
      <w:r>
        <w:rPr>
          <w:b/>
          <w:bCs/>
        </w:rPr>
        <w:t xml:space="preserve">Neighbourhood.</w:t>
      </w:r>
      <w:r>
        <w:t xml:space="preserve"> </w:t>
      </w:r>
      <w:r>
        <w:rPr>
          <w:rFonts w:ascii="Consolas" w:cs="Consolas" w:eastAsia="Consolas" w:hAnsi="Consolas"/>
          <w:sz w:val="20"/>
          <w:szCs w:val="20"/>
        </w:rPr>
        <w:t xml:space="preserve">max_neighbor_degree</w:t>
      </w:r>
      <w:r>
        <w:t xml:space="preserve"> was removed by the near-duplicate filter below; the other three were kept.</w:t>
      </w:r>
    </w:p>
    <w:p>
      <w:pPr>
        <w:spacing w:after="120" w:line="276"/>
      </w:pPr>
      <w:r>
        <w:t xml:space="preserve">We also considered triangle counts, cliques and k-core numbers, but only 3.5% of transactions belong to any triangle and the largest clique has six members, so these would be zero or near-constant for almost every row.</w:t>
      </w:r>
    </w:p>
    <w:p>
      <w:pPr>
        <w:pStyle w:val="Heading3"/>
        <w:spacing w:after="80" w:before="160"/>
      </w:pPr>
      <w:r>
        <w:t xml:space="preserve">Feature selection</w:t>
      </w:r>
    </w:p>
    <w:p>
      <w:pPr>
        <w:spacing w:after="120" w:line="276"/>
      </w:pPr>
      <w:r>
        <w:t xml:space="preserve">The anonymised features are highly redundant: 147 pairs have an absolute correlation of at least 0.9. Feeding them all to the model wastes capacity and makes importance estimates unstable, so we applied two filters to the 177 candidate features (165 anonymised and 12 graph features), both using only labelled training data:</w:t>
      </w:r>
    </w:p>
    <w:p>
      <w:pPr>
        <w:pStyle w:val="ListParagraph"/>
        <w:numPr>
          <w:ilvl w:val="0"/>
          <w:numId w:val="3"/>
        </w:numPr>
        <w:spacing w:after="60" w:line="276"/>
      </w:pPr>
      <w:r>
        <w:rPr>
          <w:b/>
          <w:bCs/>
        </w:rPr>
        <w:t xml:space="preserve">Near-duplicate removal.</w:t>
      </w:r>
      <w:r>
        <w:t xml:space="preserve"> Features were grouped into connected sets whose pairwise |r| ≥ 0.9, and within each set only the feature most correlated with the label was kept. This removed 79 features (78 anonymised, plus </w:t>
      </w:r>
      <w:r>
        <w:rPr>
          <w:rFonts w:ascii="Consolas" w:cs="Consolas" w:eastAsia="Consolas" w:hAnsi="Consolas"/>
          <w:sz w:val="20"/>
          <w:szCs w:val="20"/>
        </w:rPr>
        <w:t xml:space="preserve">max_neighbor_degree</w:t>
      </w:r>
      <w:r>
        <w:t xml:space="preserve">).</w:t>
      </w:r>
    </w:p>
    <w:p>
      <w:pPr>
        <w:pStyle w:val="ListParagraph"/>
        <w:numPr>
          <w:ilvl w:val="0"/>
          <w:numId w:val="3"/>
        </w:numPr>
        <w:spacing w:after="60" w:line="276"/>
      </w:pPr>
      <w:r>
        <w:rPr>
          <w:b/>
          <w:bCs/>
        </w:rPr>
        <w:t xml:space="preserve">Iterative VIF pruning</w:t>
      </w:r>
      <w:r>
        <w:t xml:space="preserve"> (threshold 10). In each round, among the features above the threshold, the one least correlated with the label was dropped, rather than simply the one with the highest VIF. Computing VIF as the diagonal of the inverse correlation matrix is mathematically identical to the regression definition but orders of magnitude faster. This removed a further 13 features, leaving a maximum VIF of 7.6.</w:t>
      </w:r>
    </w:p>
    <w:p>
      <w:pPr>
        <w:spacing w:after="120" w:line="276"/>
      </w:pPr>
      <w:r>
        <w:t xml:space="preserve">This leaves </w:t>
      </w:r>
      <w:r>
        <w:rPr>
          <w:b/>
          <w:bCs/>
        </w:rPr>
        <w:t xml:space="preserve">85 candidate features</w:t>
      </w:r>
      <w:r>
        <w:t xml:space="preserve">: 74 anonymised features and 11 graph features. The final model uses 45 of them, chosen by SHAP importance (Section 2.2).</w:t>
      </w:r>
    </w:p>
    <w:p>
      <w:pPr>
        <w:pStyle w:val="Heading3"/>
        <w:spacing w:after="80" w:before="160"/>
      </w:pPr>
      <w:r>
        <w:t xml:space="preserve">Augmentation with label propagation</w:t>
      </w:r>
    </w:p>
    <w:p>
      <w:pPr>
        <w:spacing w:after="120" w:line="276"/>
      </w:pPr>
      <w:r>
        <w:t xml:space="preserve">To make use of the 110,537 unlabelled rows, we ran label propagation (</w:t>
      </w:r>
      <w:r>
        <w:rPr>
          <w:rFonts w:ascii="Consolas" w:cs="Consolas" w:eastAsia="Consolas" w:hAnsi="Consolas"/>
          <w:sz w:val="20"/>
          <w:szCs w:val="20"/>
        </w:rPr>
        <w:t xml:space="preserve">LabelPropagation</w:t>
      </w:r>
      <w:r>
        <w:t xml:space="preserve">, k-nearest-neighbour kernel, 7 neighbours) on all transactions, anchored on all 31,235 genuine labels. Rather than accept every propagated label, we kept only confident ones: at a confidence of at least 0.9, 48,014 unlabelled transactions (43.4%) received a pseudo-label (41,479 licit, 6,535 illicit). These pseudo-labels were stored separately from the genuine labels and tested as extra training data (Section 2.3); the final model does not use them.</w:t>
      </w:r>
    </w:p>
    <w:p>
      <w:pPr>
        <w:spacing w:after="120" w:line="276"/>
      </w:pPr>
      <w:r>
        <w:t xml:space="preserve">We also explored unsupervised structure by projecting the feature space with PCA and UMAP and clustering it with k-means and DBSCAN. Illicit transactions did not form a separate cluster: even the most illicit-rich k-means cluster contained mostly licit transactions. This suggested a non-linear decision boundary and favoured supervised models over clustering.</w:t>
      </w:r>
    </w:p>
    <w:p>
      <w:pPr>
        <w:pStyle w:val="Heading2"/>
        <w:spacing w:after="100" w:before="220"/>
      </w:pPr>
      <w:r>
        <w:t xml:space="preserve">2.2 Model Development and Validation</w:t>
      </w:r>
    </w:p>
    <w:p>
      <w:pPr>
        <w:pStyle w:val="Heading3"/>
        <w:spacing w:after="80" w:before="160"/>
      </w:pPr>
      <w:r>
        <w:t xml:space="preserve">Validation design</w:t>
      </w:r>
    </w:p>
    <w:p>
      <w:pPr>
        <w:spacing w:after="120" w:line="276"/>
      </w:pPr>
      <w:r>
        <w:t xml:space="preserve">Random k-fold cross-validation would let transactions from later time steps inform predictions about earlier ones, which is impossible at test time and produces optimistic estimates. We therefore used two temporal hold-out splits:</w:t>
      </w:r>
    </w:p>
    <w:p>
      <w:pPr>
        <w:pStyle w:val="ListParagraph"/>
        <w:numPr>
          <w:ilvl w:val="0"/>
          <w:numId w:val="2"/>
        </w:numPr>
        <w:spacing w:after="60" w:line="276"/>
      </w:pPr>
      <w:r>
        <w:rPr>
          <w:b/>
          <w:bCs/>
        </w:rPr>
        <w:t xml:space="preserve">Adjacent split.</w:t>
      </w:r>
      <w:r>
        <w:t xml:space="preserve"> Train on time steps 1–30 (26,905 labelled rows, 11.0% illicit) and validate on 31–35 (4,330 rows, 15.9% illicit). Used to compare baseline models.</w:t>
      </w:r>
    </w:p>
    <w:p>
      <w:pPr>
        <w:pStyle w:val="ListParagraph"/>
        <w:numPr>
          <w:ilvl w:val="0"/>
          <w:numId w:val="2"/>
        </w:numPr>
        <w:spacing w:after="60" w:line="276"/>
      </w:pPr>
      <w:r>
        <w:rPr>
          <w:b/>
          <w:bCs/>
        </w:rPr>
        <w:t xml:space="preserve">Gap-matched split.</w:t>
      </w:r>
      <w:r>
        <w:t xml:space="preserve"> Train on time steps 1–20 (18,889 rows) and validate on 30–35 (4,854 rows). The final model is trained through time step 35 and predicts 36–49, between 1 and 14 steps ahead, whereas the adjacent split only tests 1–5 steps ahead. Widening the gap brings validation closer to the real deployment distance. This split was used to choose the recency weighting, to tune XGBoost and LightGBM, and to choose the number of features.</w:t>
      </w:r>
    </w:p>
    <w:p>
      <w:pPr>
        <w:spacing w:after="120" w:line="276"/>
      </w:pPr>
      <w:r>
        <w:t xml:space="preserve">For Random Forest, hyperparameters were tuned with </w:t>
      </w:r>
      <w:r>
        <w:rPr>
          <w:rFonts w:ascii="Consolas" w:cs="Consolas" w:eastAsia="Consolas" w:hAnsi="Consolas"/>
          <w:sz w:val="20"/>
          <w:szCs w:val="20"/>
        </w:rPr>
        <w:t xml:space="preserve">GridSearchCV</w:t>
      </w:r>
      <w:r>
        <w:t xml:space="preserve"> over 108 configurations, using a </w:t>
      </w:r>
      <w:r>
        <w:rPr>
          <w:rFonts w:ascii="Consolas" w:cs="Consolas" w:eastAsia="Consolas" w:hAnsi="Consolas"/>
          <w:sz w:val="20"/>
          <w:szCs w:val="20"/>
        </w:rPr>
        <w:t xml:space="preserve">PredefinedSplit</w:t>
      </w:r>
      <w:r>
        <w:t xml:space="preserve"> so that the single validation fold respected time order.</w:t>
      </w:r>
    </w:p>
    <w:p>
      <w:pPr>
        <w:pStyle w:val="Heading3"/>
        <w:spacing w:after="80" w:before="160"/>
      </w:pPr>
      <w:r>
        <w:t xml:space="preserve">Class imbalance</w:t>
      </w:r>
    </w:p>
    <w:p>
      <w:pPr>
        <w:spacing w:after="120" w:line="276"/>
      </w:pPr>
      <w:r>
        <w:t xml:space="preserve">Only 11.7% of labelled transactions are illicit. Random Forest and Logistic Regression used </w:t>
      </w:r>
      <w:r>
        <w:rPr>
          <w:rFonts w:ascii="Consolas" w:cs="Consolas" w:eastAsia="Consolas" w:hAnsi="Consolas"/>
          <w:sz w:val="20"/>
          <w:szCs w:val="20"/>
        </w:rPr>
        <w:t xml:space="preserve">class_weight="balanced"</w:t>
      </w:r>
      <w:r>
        <w:t xml:space="preserve">. For XGBoost and LightGBM, illicit rows were weighted by the ratio of licit to illicit rows (about 7.6:1), multiplied by the recency weight below. ROC-AUC does not depend on a decision threshold, so no threshold tuning was needed for the competition metric.</w:t>
      </w:r>
    </w:p>
    <w:p>
      <w:pPr>
        <w:pStyle w:val="Heading3"/>
        <w:spacing w:after="80" w:before="160"/>
      </w:pPr>
      <w:r>
        <w:t xml:space="preserve">Recency-weighted training</w:t>
      </w:r>
    </w:p>
    <w:p>
      <w:pPr>
        <w:spacing w:after="120" w:line="276"/>
      </w:pPr>
      <w:r>
        <w:t xml:space="preserve">To counter drift, each training row was weighted by how recent it is: w = 0.5^((T − t) / h), where t is the row's time step, T the latest training time step and h the half-life. A row from time step T has weight 1, and the weight halves every h steps further back. We compared half-lives of 5, 10, 20 and 40 against no weighting on the gap-matched split (Figure 2). A half-life of 10 scored clearly best (0.881 against 0.854 without weighting); both faster and slower decay did worse. On the leaderboard, recency weighting raised the score from 0.940 to 0.949, the largest single gain in the project.</w:t>
      </w:r>
    </w:p>
    <w:p>
      <w:pPr>
        <w:spacing w:after="40" w:before="120"/>
      </w:pPr>
      <w:r>
        <w:drawing>
          <wp:inline distT="0" distB="0" distL="0" distR="0">
            <wp:extent cx="5715000" cy="21431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200" w:before="60"/>
        <w:jc w:val="left"/>
      </w:pPr>
      <w:r>
        <w:rPr>
          <w:color w:val="52514E"/>
          <w:sz w:val="18"/>
          <w:szCs w:val="18"/>
        </w:rPr>
        <w:t xml:space="preserve">Figure 2. Gap-matched validation ROC-AUC (train on time steps 1–20, validate on 30–35) for XGBoost on the 85 candidate features, without recency weighting and with each half-life.</w:t>
      </w:r>
    </w:p>
    <w:p>
      <w:pPr>
        <w:pStyle w:val="Heading3"/>
        <w:spacing w:after="80" w:before="160"/>
      </w:pPr>
      <w:r>
        <w:t xml:space="preserve">Hyperparameter tuning and overfitting control</w:t>
      </w:r>
    </w:p>
    <w:p>
      <w:pPr>
        <w:spacing w:after="120" w:line="276"/>
      </w:pPr>
      <w:r>
        <w:t xml:space="preserve">XGBoost was tuned on the gap-matched split with recency weights applied, over a 72-configuration grid: </w:t>
      </w:r>
      <w:r>
        <w:rPr>
          <w:rFonts w:ascii="Consolas" w:cs="Consolas" w:eastAsia="Consolas" w:hAnsi="Consolas"/>
          <w:sz w:val="20"/>
          <w:szCs w:val="20"/>
        </w:rPr>
        <w:t xml:space="preserve">max_depth</w:t>
      </w:r>
      <w:r>
        <w:t xml:space="preserve"> {4, 6, 8}, </w:t>
      </w:r>
      <w:r>
        <w:rPr>
          <w:rFonts w:ascii="Consolas" w:cs="Consolas" w:eastAsia="Consolas" w:hAnsi="Consolas"/>
          <w:sz w:val="20"/>
          <w:szCs w:val="20"/>
        </w:rPr>
        <w:t xml:space="preserve">learning_rate</w:t>
      </w:r>
      <w:r>
        <w:t xml:space="preserve"> {0.05, 0.1, 0.2}, </w:t>
      </w:r>
      <w:r>
        <w:rPr>
          <w:rFonts w:ascii="Consolas" w:cs="Consolas" w:eastAsia="Consolas" w:hAnsi="Consolas"/>
          <w:sz w:val="20"/>
          <w:szCs w:val="20"/>
        </w:rPr>
        <w:t xml:space="preserve">subsample</w:t>
      </w:r>
      <w:r>
        <w:t xml:space="preserve"> {0.7, 1.0}, </w:t>
      </w:r>
      <w:r>
        <w:rPr>
          <w:rFonts w:ascii="Consolas" w:cs="Consolas" w:eastAsia="Consolas" w:hAnsi="Consolas"/>
          <w:sz w:val="20"/>
          <w:szCs w:val="20"/>
        </w:rPr>
        <w:t xml:space="preserve">colsample_bytree</w:t>
      </w:r>
      <w:r>
        <w:t xml:space="preserve"> {0.7, 1.0} and </w:t>
      </w:r>
      <w:r>
        <w:rPr>
          <w:rFonts w:ascii="Consolas" w:cs="Consolas" w:eastAsia="Consolas" w:hAnsi="Consolas"/>
          <w:sz w:val="20"/>
          <w:szCs w:val="20"/>
        </w:rPr>
        <w:t xml:space="preserve">reg_lambda</w:t>
      </w:r>
      <w:r>
        <w:t xml:space="preserve"> {1, 5}, each with 300 trees. The selected configuration (</w:t>
      </w:r>
      <w:r>
        <w:rPr>
          <w:rFonts w:ascii="Consolas" w:cs="Consolas" w:eastAsia="Consolas" w:hAnsi="Consolas"/>
          <w:sz w:val="20"/>
          <w:szCs w:val="20"/>
        </w:rPr>
        <w:t xml:space="preserve">max_depth=4</w:t>
      </w:r>
      <w:r>
        <w:t xml:space="preserve">, </w:t>
      </w:r>
      <w:r>
        <w:rPr>
          <w:rFonts w:ascii="Consolas" w:cs="Consolas" w:eastAsia="Consolas" w:hAnsi="Consolas"/>
          <w:sz w:val="20"/>
          <w:szCs w:val="20"/>
        </w:rPr>
        <w:t xml:space="preserve">learning_rate=0.1</w:t>
      </w:r>
      <w:r>
        <w:t xml:space="preserve">, </w:t>
      </w:r>
      <w:r>
        <w:rPr>
          <w:rFonts w:ascii="Consolas" w:cs="Consolas" w:eastAsia="Consolas" w:hAnsi="Consolas"/>
          <w:sz w:val="20"/>
          <w:szCs w:val="20"/>
        </w:rPr>
        <w:t xml:space="preserve">subsample=1.0</w:t>
      </w:r>
      <w:r>
        <w:t xml:space="preserve">, </w:t>
      </w:r>
      <w:r>
        <w:rPr>
          <w:rFonts w:ascii="Consolas" w:cs="Consolas" w:eastAsia="Consolas" w:hAnsi="Consolas"/>
          <w:sz w:val="20"/>
          <w:szCs w:val="20"/>
        </w:rPr>
        <w:t xml:space="preserve">colsample_bytree=0.7</w:t>
      </w:r>
      <w:r>
        <w:t xml:space="preserve">, </w:t>
      </w:r>
      <w:r>
        <w:rPr>
          <w:rFonts w:ascii="Consolas" w:cs="Consolas" w:eastAsia="Consolas" w:hAnsi="Consolas"/>
          <w:sz w:val="20"/>
          <w:szCs w:val="20"/>
        </w:rPr>
        <w:t xml:space="preserve">reg_lambda=5</w:t>
      </w:r>
      <w:r>
        <w:t xml:space="preserve">) raised gap-matched ROC-AUC from 0.887 to 0.896 over the defaults on the feature set of the time. The best configurations consistently used shallow, strongly regularised trees.</w:t>
      </w:r>
    </w:p>
    <w:p>
      <w:pPr>
        <w:spacing w:after="120" w:line="276"/>
      </w:pPr>
      <w:r>
        <w:t xml:space="preserve">After the graph features were added we re-ran the same grid on the 85 features. It now preferred a faster, less regularised model (</w:t>
      </w:r>
      <w:r>
        <w:rPr>
          <w:rFonts w:ascii="Consolas" w:cs="Consolas" w:eastAsia="Consolas" w:hAnsi="Consolas"/>
          <w:sz w:val="20"/>
          <w:szCs w:val="20"/>
        </w:rPr>
        <w:t xml:space="preserve">learning_rate=0.2</w:t>
      </w:r>
      <w:r>
        <w:t xml:space="preserve">, </w:t>
      </w:r>
      <w:r>
        <w:rPr>
          <w:rFonts w:ascii="Consolas" w:cs="Consolas" w:eastAsia="Consolas" w:hAnsi="Consolas"/>
          <w:sz w:val="20"/>
          <w:szCs w:val="20"/>
        </w:rPr>
        <w:t xml:space="preserve">colsample_bytree=1.0</w:t>
      </w:r>
      <w:r>
        <w:t xml:space="preserve">, </w:t>
      </w:r>
      <w:r>
        <w:rPr>
          <w:rFonts w:ascii="Consolas" w:cs="Consolas" w:eastAsia="Consolas" w:hAnsi="Consolas"/>
          <w:sz w:val="20"/>
          <w:szCs w:val="20"/>
        </w:rPr>
        <w:t xml:space="preserve">reg_lambda=1</w:t>
      </w:r>
      <w:r>
        <w:t xml:space="preserve">; ROC-AUC 0.900 against 0.881 for our configuration, which ranked 18th of 72). On the leaderboard, however, the re-tuned model scored 0.94936 against 0.95430, so we kept the more regularised settings. LightGBM was tuned on a matching 72-configuration grid, with </w:t>
      </w:r>
      <w:r>
        <w:rPr>
          <w:rFonts w:ascii="Consolas" w:cs="Consolas" w:eastAsia="Consolas" w:hAnsi="Consolas"/>
          <w:sz w:val="20"/>
          <w:szCs w:val="20"/>
        </w:rPr>
        <w:t xml:space="preserve">num_leaves</w:t>
      </w:r>
      <w:r>
        <w:t xml:space="preserve"> {7, 15, 31} in place of </w:t>
      </w:r>
      <w:r>
        <w:rPr>
          <w:rFonts w:ascii="Consolas" w:cs="Consolas" w:eastAsia="Consolas" w:hAnsi="Consolas"/>
          <w:sz w:val="20"/>
          <w:szCs w:val="20"/>
        </w:rPr>
        <w:t xml:space="preserve">max_depth</w:t>
      </w:r>
      <w:r>
        <w:t xml:space="preserve"> (Section 2.3).</w:t>
      </w:r>
    </w:p>
    <w:p>
      <w:pPr>
        <w:spacing w:after="120" w:line="276"/>
      </w:pPr>
      <w:r>
        <w:t xml:space="preserve">Beyond regularisation, we limited overfitting in two ways. All model selection used temporal validation rather than the leaderboard, and the leaderboard served as a final check on changes that validation already supported. And once small validation differences stopped predicting leaderboard movements, we stopped acting on them alone.</w:t>
      </w:r>
    </w:p>
    <w:p>
      <w:pPr>
        <w:pStyle w:val="Heading3"/>
        <w:spacing w:after="80" w:before="160"/>
      </w:pPr>
      <w:r>
        <w:t xml:space="preserve">SHAP-based feature selection</w:t>
      </w:r>
    </w:p>
    <w:p>
      <w:pPr>
        <w:spacing w:after="120" w:line="276"/>
      </w:pPr>
      <w:r>
        <w:t xml:space="preserve">With 85 candidates, we tested whether a smaller set generalises better. XGBoost was trained on all 85 features, the features were ranked by mean absolute SHAP value, and the model was retrained on the top k. To keep the validation honest, the ranking used only the gap-matched training rows (Table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6"/>
        <w:gridCol w:w="1050"/>
        <w:gridCol w:w="1050"/>
        <w:gridCol w:w="1050"/>
        <w:gridCol w:w="1050"/>
        <w:gridCol w:w="1050"/>
        <w:gridCol w:w="1050"/>
      </w:tblGrid>
      <w:tr>
        <w:trPr>
          <w:tblHeader/>
        </w:trPr>
        <w:tc>
          <w:tcPr>
            <w:tcW w:type="dxa" w:w="2726"/>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Features kept</w:t>
            </w:r>
          </w:p>
        </w:tc>
        <w:tc>
          <w:tcPr>
            <w:tcW w:type="dxa" w:w="105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All 85</w:t>
            </w:r>
          </w:p>
        </w:tc>
        <w:tc>
          <w:tcPr>
            <w:tcW w:type="dxa" w:w="105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Top 75</w:t>
            </w:r>
          </w:p>
        </w:tc>
        <w:tc>
          <w:tcPr>
            <w:tcW w:type="dxa" w:w="105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Top 65</w:t>
            </w:r>
          </w:p>
        </w:tc>
        <w:tc>
          <w:tcPr>
            <w:tcW w:type="dxa" w:w="105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Top 55</w:t>
            </w:r>
          </w:p>
        </w:tc>
        <w:tc>
          <w:tcPr>
            <w:tcW w:type="dxa" w:w="105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Top 45</w:t>
            </w:r>
          </w:p>
        </w:tc>
        <w:tc>
          <w:tcPr>
            <w:tcW w:type="dxa" w:w="105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Top 35</w:t>
            </w:r>
          </w:p>
        </w:tc>
      </w:tr>
      <w:tr>
        <w:tc>
          <w:tcPr>
            <w:tcW w:type="dxa" w:w="27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Gap-matched ROC-AUC</w:t>
            </w:r>
          </w:p>
        </w:tc>
        <w:tc>
          <w:tcPr>
            <w:tcW w:type="dxa" w:w="10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0.8809</w:t>
            </w:r>
          </w:p>
        </w:tc>
        <w:tc>
          <w:tcPr>
            <w:tcW w:type="dxa" w:w="10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0.8508</w:t>
            </w:r>
          </w:p>
        </w:tc>
        <w:tc>
          <w:tcPr>
            <w:tcW w:type="dxa" w:w="10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0.8591</w:t>
            </w:r>
          </w:p>
        </w:tc>
        <w:tc>
          <w:tcPr>
            <w:tcW w:type="dxa" w:w="10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0.8617</w:t>
            </w:r>
          </w:p>
        </w:tc>
        <w:tc>
          <w:tcPr>
            <w:tcW w:type="dxa" w:w="10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0.8819</w:t>
            </w:r>
          </w:p>
        </w:tc>
        <w:tc>
          <w:tcPr>
            <w:tcW w:type="dxa" w:w="10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0.8700</w:t>
            </w:r>
          </w:p>
        </w:tc>
      </w:tr>
    </w:tbl>
    <w:p>
      <w:pPr>
        <w:spacing w:after="200" w:before="60"/>
        <w:jc w:val="left"/>
      </w:pPr>
      <w:r>
        <w:rPr>
          <w:color w:val="52514E"/>
          <w:sz w:val="18"/>
          <w:szCs w:val="18"/>
        </w:rPr>
        <w:t xml:space="preserve">Table 3. XGBoost on the gap-matched split, keeping the top k features by SHAP.</w:t>
      </w:r>
    </w:p>
    <w:p>
      <w:pPr>
        <w:spacing w:after="120" w:line="276"/>
      </w:pPr>
      <w:r>
        <w:t xml:space="preserve">Only the top-45 cut matched all 85 features; the others lost 0.01–0.03, with no consistent trend. On the leaderboard the 45-feature model scored 0.95483 against 0.95430 for all 85: essentially the same score with about half the features. We adopted it because a smaller model is simpler to explain and has fewer chances to latch on to period-specific quirks, not because the gain is meaningful on its own.</w:t>
      </w:r>
    </w:p>
    <w:p>
      <w:pPr>
        <w:pStyle w:val="Heading3"/>
        <w:spacing w:after="80" w:before="160"/>
      </w:pPr>
      <w:r>
        <w:t xml:space="preserve">Evaluation metric</w:t>
      </w:r>
    </w:p>
    <w:p>
      <w:pPr>
        <w:spacing w:after="120" w:line="276"/>
      </w:pPr>
      <w:r>
        <w:t xml:space="preserve">All results are reported as ROC-AUC, the competition metric, with precision, recall and F1 for the illicit class where useful. Early in the project we optimised PR-AUC, which is often recommended for imbalanced fraud data, before confirming that the leaderboard uses ROC-AUC. We re-checked every key decision under ROC-AUC (the half-life, the hyperparameters and the rejection of pseudo-labels) and all of them held.</w:t>
      </w:r>
    </w:p>
    <w:p>
      <w:pPr>
        <w:pStyle w:val="Heading2"/>
        <w:spacing w:after="100" w:before="220"/>
      </w:pPr>
      <w:r>
        <w:t xml:space="preserve">2.3 Model Exploration and Final Strategy</w:t>
      </w:r>
    </w:p>
    <w:p>
      <w:pPr>
        <w:spacing w:after="120" w:line="276"/>
      </w:pPr>
      <w:r>
        <w:t xml:space="preserve">We explored the following models and strategies:</w:t>
      </w:r>
    </w:p>
    <w:p>
      <w:pPr>
        <w:pStyle w:val="ListParagraph"/>
        <w:numPr>
          <w:ilvl w:val="0"/>
          <w:numId w:val="2"/>
        </w:numPr>
        <w:spacing w:after="60" w:line="276"/>
      </w:pPr>
      <w:r>
        <w:rPr>
          <w:b/>
          <w:bCs/>
        </w:rPr>
        <w:t xml:space="preserve">Logistic Regression</w:t>
      </w:r>
      <w:r>
        <w:t xml:space="preserve">, a linear baseline on standardised features.</w:t>
      </w:r>
    </w:p>
    <w:p>
      <w:pPr>
        <w:pStyle w:val="ListParagraph"/>
        <w:numPr>
          <w:ilvl w:val="0"/>
          <w:numId w:val="2"/>
        </w:numPr>
        <w:spacing w:after="60" w:line="276"/>
      </w:pPr>
      <w:r>
        <w:rPr>
          <w:b/>
          <w:bCs/>
        </w:rPr>
        <w:t xml:space="preserve">Random Forest</w:t>
      </w:r>
      <w:r>
        <w:t xml:space="preserve">, bagged decision trees; the strongest baseline in the original Elliptic study.</w:t>
      </w:r>
    </w:p>
    <w:p>
      <w:pPr>
        <w:pStyle w:val="ListParagraph"/>
        <w:numPr>
          <w:ilvl w:val="0"/>
          <w:numId w:val="2"/>
        </w:numPr>
        <w:spacing w:after="60" w:line="276"/>
      </w:pPr>
      <w:r>
        <w:rPr>
          <w:b/>
          <w:bCs/>
        </w:rPr>
        <w:t xml:space="preserve">XGBoost</w:t>
      </w:r>
      <w:r>
        <w:t xml:space="preserve">, gradient-boosted decision trees grown level by level.</w:t>
      </w:r>
    </w:p>
    <w:p>
      <w:pPr>
        <w:pStyle w:val="ListParagraph"/>
        <w:numPr>
          <w:ilvl w:val="0"/>
          <w:numId w:val="2"/>
        </w:numPr>
        <w:spacing w:after="60" w:line="276"/>
      </w:pPr>
      <w:r>
        <w:rPr>
          <w:b/>
          <w:bCs/>
        </w:rPr>
        <w:t xml:space="preserve">LightGBM</w:t>
      </w:r>
      <w:r>
        <w:t xml:space="preserve">, gradient-boosted trees grown leaf by leaf, which can fit more complex patterns with the same number of leaves. Tested with XGBoost's settings, with its own defaults, and after its own 72-configuration tuning.</w:t>
      </w:r>
    </w:p>
    <w:p>
      <w:pPr>
        <w:pStyle w:val="ListParagraph"/>
        <w:numPr>
          <w:ilvl w:val="0"/>
          <w:numId w:val="2"/>
        </w:numPr>
        <w:spacing w:after="60" w:line="276"/>
      </w:pPr>
      <w:r>
        <w:rPr>
          <w:b/>
          <w:bCs/>
        </w:rPr>
        <w:t xml:space="preserve">Ensembles</w:t>
      </w:r>
      <w:r>
        <w:t xml:space="preserve">: Random Forest + XGBoost and XGBoost + LightGBM, averaging percentile ranks (ROC-AUC only scores the ordering, and the models' probabilities sit on different scales).</w:t>
      </w:r>
    </w:p>
    <w:p>
      <w:pPr>
        <w:pStyle w:val="ListParagraph"/>
        <w:numPr>
          <w:ilvl w:val="0"/>
          <w:numId w:val="2"/>
        </w:numPr>
        <w:spacing w:after="60" w:line="276"/>
      </w:pPr>
      <w:r>
        <w:rPr>
          <w:b/>
          <w:bCs/>
        </w:rPr>
        <w:t xml:space="preserve">Semi-supervised self-training</w:t>
      </w:r>
      <w:r>
        <w:t xml:space="preserve">: retraining XGBoost on genuine labels plus pseudo-labels at confidence thresholds of 0.95 and 0.99.</w:t>
      </w:r>
    </w:p>
    <w:p>
      <w:pPr>
        <w:pStyle w:val="ListParagraph"/>
        <w:numPr>
          <w:ilvl w:val="0"/>
          <w:numId w:val="2"/>
        </w:numPr>
        <w:spacing w:after="60" w:line="276"/>
      </w:pPr>
      <w:r>
        <w:rPr>
          <w:b/>
          <w:bCs/>
        </w:rPr>
        <w:t xml:space="preserve">Feature-set variants</w:t>
      </w:r>
      <w:r>
        <w:t xml:space="preserve">: adding community and neighbourhood features, removing the features that most reveal the time period, and SHAP-based reduction for both XGBoost and LightGBM.</w:t>
      </w:r>
    </w:p>
    <w:p>
      <w:pPr>
        <w:spacing w:after="120" w:line="276"/>
      </w:pPr>
      <w:r>
        <w:t xml:space="preserve">Three diagnostics guided these choices:</w:t>
      </w:r>
    </w:p>
    <w:p>
      <w:pPr>
        <w:pStyle w:val="ListParagraph"/>
        <w:numPr>
          <w:ilvl w:val="0"/>
          <w:numId w:val="2"/>
        </w:numPr>
        <w:spacing w:after="60" w:line="276"/>
      </w:pPr>
      <w:r>
        <w:rPr>
          <w:b/>
          <w:bCs/>
        </w:rPr>
        <w:t xml:space="preserve">Logistic Regression as a drift check.</w:t>
      </w:r>
      <w:r>
        <w:t xml:space="preserve"> On an earlier feature set, its validation score dropped between the adjacent and gap-matched splits just as XGBoost's did (ROC-AUC 0.875 → 0.818 against 0.998 → 0.884), showing that drift is a property of the data rather than of tree models.</w:t>
      </w:r>
    </w:p>
    <w:p>
      <w:pPr>
        <w:pStyle w:val="ListParagraph"/>
        <w:numPr>
          <w:ilvl w:val="0"/>
          <w:numId w:val="2"/>
        </w:numPr>
        <w:spacing w:after="60" w:line="276"/>
      </w:pPr>
      <w:r>
        <w:rPr>
          <w:b/>
          <w:bCs/>
        </w:rPr>
        <w:t xml:space="preserve">Adversarial validation.</w:t>
      </w:r>
      <w:r>
        <w:t xml:space="preserve"> A classifier trained to tell time steps ≤ 30 from &gt; 30 using only the features, without labels, reached ROC-AUC 1.0. Its feature importances identified the most time-revealing features: </w:t>
      </w:r>
      <w:r>
        <w:rPr>
          <w:rFonts w:ascii="Consolas" w:cs="Consolas" w:eastAsia="Consolas" w:hAnsi="Consolas"/>
          <w:sz w:val="20"/>
          <w:szCs w:val="20"/>
        </w:rPr>
        <w:t xml:space="preserve">feat_103</w:t>
      </w:r>
      <w:r>
        <w:t xml:space="preserve"> (0.35), </w:t>
      </w:r>
      <w:r>
        <w:rPr>
          <w:rFonts w:ascii="Consolas" w:cs="Consolas" w:eastAsia="Consolas" w:hAnsi="Consolas"/>
          <w:sz w:val="20"/>
          <w:szCs w:val="20"/>
        </w:rPr>
        <w:t xml:space="preserve">feat_136</w:t>
      </w:r>
      <w:r>
        <w:t xml:space="preserve"> (0.33) and </w:t>
      </w:r>
      <w:r>
        <w:rPr>
          <w:rFonts w:ascii="Consolas" w:cs="Consolas" w:eastAsia="Consolas" w:hAnsi="Consolas"/>
          <w:sz w:val="20"/>
          <w:szCs w:val="20"/>
        </w:rPr>
        <w:t xml:space="preserve">feat_2</w:t>
      </w:r>
      <w:r>
        <w:t xml:space="preserve"> (0.07).</w:t>
      </w:r>
    </w:p>
    <w:p>
      <w:pPr>
        <w:pStyle w:val="ListParagraph"/>
        <w:numPr>
          <w:ilvl w:val="0"/>
          <w:numId w:val="2"/>
        </w:numPr>
        <w:spacing w:after="60" w:line="276"/>
      </w:pPr>
      <w:r>
        <w:rPr>
          <w:b/>
          <w:bCs/>
        </w:rPr>
        <w:t xml:space="preserve">SHAP.</w:t>
      </w:r>
      <w:r>
        <w:t xml:space="preserve"> In the final model two anonymised features dominate: </w:t>
      </w:r>
      <w:r>
        <w:rPr>
          <w:rFonts w:ascii="Consolas" w:cs="Consolas" w:eastAsia="Consolas" w:hAnsi="Consolas"/>
          <w:sz w:val="20"/>
          <w:szCs w:val="20"/>
        </w:rPr>
        <w:t xml:space="preserve">feat_53</w:t>
      </w:r>
      <w:r>
        <w:t xml:space="preserve"> (11.9% of total mean |SHAP|) and </w:t>
      </w:r>
      <w:r>
        <w:rPr>
          <w:rFonts w:ascii="Consolas" w:cs="Consolas" w:eastAsia="Consolas" w:hAnsi="Consolas"/>
          <w:sz w:val="20"/>
          <w:szCs w:val="20"/>
        </w:rPr>
        <w:t xml:space="preserve">feat_59</w:t>
      </w:r>
      <w:r>
        <w:t xml:space="preserve"> (10.7%). No other feature exceeds 5% (Figure 4). The time-revealing </w:t>
      </w:r>
      <w:r>
        <w:rPr>
          <w:rFonts w:ascii="Consolas" w:cs="Consolas" w:eastAsia="Consolas" w:hAnsi="Consolas"/>
          <w:sz w:val="20"/>
          <w:szCs w:val="20"/>
        </w:rPr>
        <w:t xml:space="preserve">feat_2</w:t>
      </w:r>
      <w:r>
        <w:t xml:space="preserve"> ranks third (5.0%), and </w:t>
      </w:r>
      <w:r>
        <w:rPr>
          <w:rFonts w:ascii="Consolas" w:cs="Consolas" w:eastAsia="Consolas" w:hAnsi="Consolas"/>
          <w:sz w:val="20"/>
          <w:szCs w:val="20"/>
        </w:rPr>
        <w:t xml:space="preserve">feat_103</w:t>
      </w:r>
      <w:r>
        <w:t xml:space="preserve"> and </w:t>
      </w:r>
      <w:r>
        <w:rPr>
          <w:rFonts w:ascii="Consolas" w:cs="Consolas" w:eastAsia="Consolas" w:hAnsi="Consolas"/>
          <w:sz w:val="20"/>
          <w:szCs w:val="20"/>
        </w:rPr>
        <w:t xml:space="preserve">feat_136</w:t>
      </w:r>
      <w:r>
        <w:t xml:space="preserve"> also remain among the 45, so the model still carries some signal about the time period.</w:t>
      </w:r>
    </w:p>
    <w:p>
      <w:pPr>
        <w:spacing w:after="120" w:line="276"/>
      </w:pPr>
      <w:r>
        <w:rPr>
          <w:b/>
          <w:bCs/>
        </w:rPr>
        <w:t xml:space="preserve">LightGBM</w:t>
      </w:r>
      <w:r>
        <w:t xml:space="preserve"> edged XGBoost on the adjacent split (Table 4), so we explored it in depth. On the gap-matched split, with sample weights identical to XGBoost's, neither LightGBM set to mirror XGBoost's settings (0.854) nor LightGBM with its own defaults (0.846) matched XGBoost (0.881). After tuning, 5 of 72 LightGBM configurations beat XGBoost on that split. We submitted two: the top-scoring configuration (31 leaves, learning rate 0.2, light regularisation; 0.896) scored only 0.93907 on the leaderboard, while a conservative one (7 leaves, learning rate 0.05, </w:t>
      </w:r>
      <w:r>
        <w:rPr>
          <w:rFonts w:ascii="Consolas" w:cs="Consolas" w:eastAsia="Consolas" w:hAnsi="Consolas"/>
          <w:sz w:val="20"/>
          <w:szCs w:val="20"/>
        </w:rPr>
        <w:t xml:space="preserve">reg_lambda=5</w:t>
      </w:r>
      <w:r>
        <w:t xml:space="preserve">; 0.890) scored 0.95286, close to but below XGBoost. SHAP-based reduction did not help LightGBM: every cut scored below its full 85-feature model.</w:t>
      </w:r>
    </w:p>
    <w:p>
      <w:pPr>
        <w:spacing w:after="120" w:line="276"/>
      </w:pPr>
      <w:r>
        <w:rPr>
          <w:b/>
          <w:bCs/>
        </w:rPr>
        <w:t xml:space="preserve">Ensembles</w:t>
      </w:r>
      <w:r>
        <w:t xml:space="preserve"> need models that disagree. XGBoost and the 7-leaf LightGBM ranked transactions very similarly (Spearman correlation 0.918 on the gap-matched split and 0.942 on the test set), and on validation each blend scored between its two parents rather than above both. Random Forest was more different but weaker at a distance, so blending it in lowered the score.</w:t>
      </w:r>
    </w:p>
    <w:p>
      <w:pPr>
        <w:spacing w:after="120" w:line="276"/>
      </w:pPr>
      <w:r>
        <w:rPr>
          <w:b/>
          <w:bCs/>
        </w:rPr>
        <w:t xml:space="preserve">Final strategy.</w:t>
      </w:r>
      <w:r>
        <w:t xml:space="preserve"> From the XGBoost baseline we accepted only changes that validation supported and the leaderboard confirmed: recency weighting, regularised hyperparameters, graph features and SHAP-based selection. The </w:t>
      </w:r>
      <w:r>
        <w:rPr>
          <w:b/>
          <w:bCs/>
        </w:rPr>
        <w:t xml:space="preserve">final submission</w:t>
      </w:r>
      <w:r>
        <w:t xml:space="preserve"> is XGBoost (300 trees, </w:t>
      </w:r>
      <w:r>
        <w:rPr>
          <w:rFonts w:ascii="Consolas" w:cs="Consolas" w:eastAsia="Consolas" w:hAnsi="Consolas"/>
          <w:sz w:val="20"/>
          <w:szCs w:val="20"/>
        </w:rPr>
        <w:t xml:space="preserve">max_depth=4</w:t>
      </w:r>
      <w:r>
        <w:t xml:space="preserve">, </w:t>
      </w:r>
      <w:r>
        <w:rPr>
          <w:rFonts w:ascii="Consolas" w:cs="Consolas" w:eastAsia="Consolas" w:hAnsi="Consolas"/>
          <w:sz w:val="20"/>
          <w:szCs w:val="20"/>
        </w:rPr>
        <w:t xml:space="preserve">learning_rate=0.1</w:t>
      </w:r>
      <w:r>
        <w:t xml:space="preserve">, </w:t>
      </w:r>
      <w:r>
        <w:rPr>
          <w:rFonts w:ascii="Consolas" w:cs="Consolas" w:eastAsia="Consolas" w:hAnsi="Consolas"/>
          <w:sz w:val="20"/>
          <w:szCs w:val="20"/>
        </w:rPr>
        <w:t xml:space="preserve">colsample_bytree=0.7</w:t>
      </w:r>
      <w:r>
        <w:t xml:space="preserve">, </w:t>
      </w:r>
      <w:r>
        <w:rPr>
          <w:rFonts w:ascii="Consolas" w:cs="Consolas" w:eastAsia="Consolas" w:hAnsi="Consolas"/>
          <w:sz w:val="20"/>
          <w:szCs w:val="20"/>
        </w:rPr>
        <w:t xml:space="preserve">reg_lambda=5</w:t>
      </w:r>
      <w:r>
        <w:t xml:space="preserve">) on the top 45 of the 85 candidate features by SHAP, with recency weighting (half-life 10) and class weighting, trained on all 31,235 genuinely labelled transactions from time steps 1–35. XGBoost was chosen over LightGBM because it scored higher on the leaderboard and, with shallow regularised trees, was the more stable of the two under drift.</w:t>
      </w:r>
    </w:p>
    <w:p>
      <w:pPr>
        <w:spacing w:after="120" w:line="276"/>
      </w:pPr>
      <w:r>
        <w:t xml:space="preserve">We did not pursue graph neural networks. Because the graph splits into disconnected time steps and test transactions never connect to labelled ones, a GNN could not propagate label information to the test set, and its advantage over hand-crafted graph features plus gradient boosting was uncertain within the time available.</w:t>
      </w:r>
    </w:p>
    <w:p>
      <w:pPr>
        <w:pStyle w:val="Heading1"/>
        <w:spacing w:after="120" w:before="280"/>
      </w:pPr>
      <w:r>
        <w:t xml:space="preserve">3. Results and Discussion</w:t>
      </w:r>
    </w:p>
    <w:p>
      <w:pPr>
        <w:pStyle w:val="Heading3"/>
        <w:spacing w:after="80" w:before="160"/>
      </w:pPr>
      <w:r>
        <w:t xml:space="preserve">Baseline model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50"/>
        <w:gridCol w:w="1550"/>
        <w:gridCol w:w="1550"/>
        <w:gridCol w:w="1550"/>
      </w:tblGrid>
      <w:tr>
        <w:trPr>
          <w:tblHeader/>
        </w:trPr>
        <w:tc>
          <w:tcPr>
            <w:tcW w:type="dxa" w:w="2826"/>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Model</w:t>
            </w:r>
          </w:p>
        </w:tc>
        <w:tc>
          <w:tcPr>
            <w:tcW w:type="dxa" w:w="155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Illicit precision</w:t>
            </w:r>
          </w:p>
        </w:tc>
        <w:tc>
          <w:tcPr>
            <w:tcW w:type="dxa" w:w="155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Illicit recall</w:t>
            </w:r>
          </w:p>
        </w:tc>
        <w:tc>
          <w:tcPr>
            <w:tcW w:type="dxa" w:w="155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Illicit F1</w:t>
            </w:r>
          </w:p>
        </w:tc>
        <w:tc>
          <w:tcPr>
            <w:tcW w:type="dxa" w:w="155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ROC-AUC</w:t>
            </w:r>
          </w:p>
        </w:tc>
      </w:tr>
      <w:tr>
        <w:tc>
          <w:tcPr>
            <w:tcW w:type="dxa" w:w="28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Random Forest</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0.988</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0.728</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0.838</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0.9973</w:t>
            </w:r>
          </w:p>
        </w:tc>
      </w:tr>
      <w:tr>
        <w:tc>
          <w:tcPr>
            <w:tcW w:type="dxa" w:w="28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XGBoost</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0.950</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0.959</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0.955</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0.9977</w:t>
            </w:r>
          </w:p>
        </w:tc>
      </w:tr>
      <w:tr>
        <w:tc>
          <w:tcPr>
            <w:tcW w:type="dxa" w:w="28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LightGBM</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0.949</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0.978</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0.964</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0.9981</w:t>
            </w:r>
          </w:p>
        </w:tc>
      </w:tr>
      <w:tr>
        <w:tc>
          <w:tcPr>
            <w:tcW w:type="dxa" w:w="28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Logistic Regression</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0.311</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0.909</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0.463</w:t>
            </w:r>
          </w:p>
        </w:tc>
        <w:tc>
          <w:tcPr>
            <w:tcW w:type="dxa" w:w="155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0.8689</w:t>
            </w:r>
          </w:p>
        </w:tc>
      </w:tr>
    </w:tbl>
    <w:p>
      <w:pPr>
        <w:spacing w:after="200" w:before="60"/>
        <w:jc w:val="left"/>
      </w:pPr>
      <w:r>
        <w:rPr>
          <w:color w:val="52514E"/>
          <w:sz w:val="18"/>
          <w:szCs w:val="18"/>
        </w:rPr>
        <w:t xml:space="preserve">Table 4. Validation results on the adjacent split (train on time steps 1–30, validate on 31–35), 85 features, default settings without recency weighting, 0.5 threshold.</w:t>
      </w:r>
    </w:p>
    <w:p>
      <w:pPr>
        <w:spacing w:after="120" w:line="276"/>
      </w:pPr>
      <w:r>
        <w:t xml:space="preserve">The two gradient-boosting models were strongest, mainly on recall. Random Forest was more conservative: it was precise when it flagged a transaction but missed more than a quarter of illicit transactions. The tree models' ROC-AUC values look almost identical because ROC-AUC is near its ceiling on this split; the gap-matched split and the leaderboard separated them more clearly. Logistic Regression was far weaker, confirming that the boundary between licit and illicit transactions is strongly non-linear.</w:t>
      </w:r>
    </w:p>
    <w:p>
      <w:pPr>
        <w:pStyle w:val="Heading3"/>
        <w:spacing w:after="80" w:before="160"/>
      </w:pPr>
      <w:r>
        <w:t xml:space="preserve">Leaderboard progression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5526"/>
        <w:gridCol w:w="2500"/>
      </w:tblGrid>
      <w:tr>
        <w:trPr>
          <w:tblHeader/>
        </w:trPr>
        <w:tc>
          <w:tcPr>
            <w:tcW w:type="dxa" w:w="100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Step</w:t>
            </w:r>
          </w:p>
        </w:tc>
        <w:tc>
          <w:tcPr>
            <w:tcW w:type="dxa" w:w="5526"/>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Change</w:t>
            </w:r>
          </w:p>
        </w:tc>
        <w:tc>
          <w:tcPr>
            <w:tcW w:type="dxa" w:w="250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Leaderboard ROC-AUC</w:t>
            </w:r>
          </w:p>
        </w:tc>
      </w:tr>
      <w:tr>
        <w:tc>
          <w:tcPr>
            <w:tcW w:type="dxa" w:w="10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1</w:t>
            </w:r>
          </w:p>
        </w:tc>
        <w:tc>
          <w:tcPr>
            <w:tcW w:type="dxa" w:w="55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XGBoost baseline</w:t>
            </w:r>
          </w:p>
        </w:tc>
        <w:tc>
          <w:tcPr>
            <w:tcW w:type="dxa" w:w="25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0.940</w:t>
            </w:r>
          </w:p>
        </w:tc>
      </w:tr>
      <w:tr>
        <w:tc>
          <w:tcPr>
            <w:tcW w:type="dxa" w:w="10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2</w:t>
            </w:r>
          </w:p>
        </w:tc>
        <w:tc>
          <w:tcPr>
            <w:tcW w:type="dxa" w:w="55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 recency weighting (half-life 10)</w:t>
            </w:r>
          </w:p>
        </w:tc>
        <w:tc>
          <w:tcPr>
            <w:tcW w:type="dxa" w:w="25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0.94913</w:t>
            </w:r>
          </w:p>
        </w:tc>
      </w:tr>
      <w:tr>
        <w:tc>
          <w:tcPr>
            <w:tcW w:type="dxa" w:w="10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3</w:t>
            </w:r>
          </w:p>
        </w:tc>
        <w:tc>
          <w:tcPr>
            <w:tcW w:type="dxa" w:w="55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 regularised hyperparameters and centrality features</w:t>
            </w:r>
          </w:p>
        </w:tc>
        <w:tc>
          <w:tcPr>
            <w:tcW w:type="dxa" w:w="25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Improved (score not recorded)</w:t>
            </w:r>
          </w:p>
        </w:tc>
      </w:tr>
      <w:tr>
        <w:tc>
          <w:tcPr>
            <w:tcW w:type="dxa" w:w="10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4</w:t>
            </w:r>
          </w:p>
        </w:tc>
        <w:tc>
          <w:tcPr>
            <w:tcW w:type="dxa" w:w="55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 community and neighbourhood features (85 features)</w:t>
            </w:r>
          </w:p>
        </w:tc>
        <w:tc>
          <w:tcPr>
            <w:tcW w:type="dxa" w:w="25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0.95430</w:t>
            </w:r>
          </w:p>
        </w:tc>
      </w:tr>
      <w:tr>
        <w:tc>
          <w:tcPr>
            <w:tcW w:type="dxa" w:w="10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5</w:t>
            </w:r>
          </w:p>
        </w:tc>
        <w:tc>
          <w:tcPr>
            <w:tcW w:type="dxa" w:w="55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Top 45 features by SHAP (</w:t>
            </w:r>
            <w:r>
              <w:rPr>
                <w:sz w:val="18"/>
                <w:szCs w:val="18"/>
              </w:rPr>
              <w:t xml:space="preserve">final submission</w:t>
            </w:r>
            <w:r>
              <w:rPr>
                <w:sz w:val="18"/>
                <w:szCs w:val="18"/>
              </w:rPr>
              <w:t xml:space="preserve">)</w:t>
            </w:r>
          </w:p>
        </w:tc>
        <w:tc>
          <w:tcPr>
            <w:tcW w:type="dxa" w:w="25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0.95483</w:t>
            </w:r>
          </w:p>
        </w:tc>
      </w:tr>
    </w:tbl>
    <w:p>
      <w:pPr>
        <w:spacing w:after="200" w:before="60"/>
        <w:jc w:val="left"/>
      </w:pPr>
      <w:r>
        <w:rPr>
          <w:color w:val="52514E"/>
          <w:sz w:val="18"/>
          <w:szCs w:val="18"/>
        </w:rPr>
        <w:t xml:space="preserve">Table 5. Submissions that improved on the previous best.</w:t>
      </w:r>
    </w:p>
    <w:p>
      <w:pPr>
        <w:spacing w:after="40" w:before="120"/>
      </w:pPr>
      <w:r>
        <w:drawing>
          <wp:inline distT="0" distB="0" distL="0" distR="0">
            <wp:extent cx="5715000" cy="2676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76525"/>
                    </a:xfrm>
                    <a:prstGeom prst="rect">
                      <a:avLst/>
                    </a:prstGeom>
                  </pic:spPr>
                </pic:pic>
              </a:graphicData>
            </a:graphic>
          </wp:inline>
        </w:drawing>
      </w:r>
    </w:p>
    <w:p>
      <w:pPr>
        <w:spacing w:after="200" w:before="60"/>
        <w:jc w:val="left"/>
      </w:pPr>
      <w:r>
        <w:rPr>
          <w:color w:val="52514E"/>
          <w:sz w:val="18"/>
          <w:szCs w:val="18"/>
        </w:rPr>
        <w:t xml:space="preserve">Figure 3. Public leaderboard ROC-AUC of the scored submissions, including the strongest alternatives.</w:t>
      </w:r>
    </w:p>
    <w:p>
      <w:pPr>
        <w:spacing w:after="120" w:line="276"/>
      </w:pPr>
      <w:r>
        <w:t xml:space="preserve">Recency weighting produced the largest confirmed gain, and graph features the second. Adding community features on their own lowered the score, but the full set of 85 features scored slightly above the previous best, and the SHAP-selected 45 matched it.</w:t>
      </w:r>
    </w:p>
    <w:p>
      <w:pPr>
        <w:pStyle w:val="Heading3"/>
        <w:spacing w:after="80" w:before="160"/>
      </w:pPr>
      <w:r>
        <w:t xml:space="preserve">Experiments that did not improve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426"/>
        <w:gridCol w:w="2200"/>
      </w:tblGrid>
      <w:tr>
        <w:trPr>
          <w:tblHeader/>
        </w:trPr>
        <w:tc>
          <w:tcPr>
            <w:tcW w:type="dxa" w:w="340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Experiment</w:t>
            </w:r>
          </w:p>
        </w:tc>
        <w:tc>
          <w:tcPr>
            <w:tcW w:type="dxa" w:w="3426"/>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Validation signal</w:t>
            </w:r>
          </w:p>
        </w:tc>
        <w:tc>
          <w:tcPr>
            <w:tcW w:type="dxa" w:w="220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Leaderboard</w:t>
            </w:r>
          </w:p>
        </w:tc>
      </w:tr>
      <w:tr>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XGBoost re-tuned on 85 features</w:t>
            </w:r>
          </w:p>
        </w:tc>
        <w:tc>
          <w:tcPr>
            <w:tcW w:type="dxa" w:w="34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Gap-matched: higher (0.881 → 0.900)</w:t>
            </w:r>
          </w:p>
        </w:tc>
        <w:tc>
          <w:tcPr>
            <w:tcW w:type="dxa" w:w="22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Lower (0.94936)</w:t>
            </w:r>
          </w:p>
        </w:tc>
      </w:tr>
      <w:tr>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LightGBM, 31 leaves (top of its grid)</w:t>
            </w:r>
          </w:p>
        </w:tc>
        <w:tc>
          <w:tcPr>
            <w:tcW w:type="dxa" w:w="34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Gap-matched: higher (0.896)</w:t>
            </w:r>
          </w:p>
        </w:tc>
        <w:tc>
          <w:tcPr>
            <w:tcW w:type="dxa" w:w="22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Lower (0.93907)</w:t>
            </w:r>
          </w:p>
        </w:tc>
      </w:tr>
      <w:tr>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LightGBM, 7 leaves</w:t>
            </w:r>
          </w:p>
        </w:tc>
        <w:tc>
          <w:tcPr>
            <w:tcW w:type="dxa" w:w="34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Gap-matched: higher (0.890)</w:t>
            </w:r>
          </w:p>
        </w:tc>
        <w:tc>
          <w:tcPr>
            <w:tcW w:type="dxa" w:w="22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Lower (0.95286)</w:t>
            </w:r>
          </w:p>
        </w:tc>
      </w:tr>
      <w:tr>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XGBoost + LightGBM rank blends (50/50, 70/30)</w:t>
            </w:r>
          </w:p>
        </w:tc>
        <w:tc>
          <w:tcPr>
            <w:tcW w:type="dxa" w:w="34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Between the two parents</w:t>
            </w:r>
          </w:p>
        </w:tc>
        <w:tc>
          <w:tcPr>
            <w:tcW w:type="dxa" w:w="22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No meaningful gain</w:t>
            </w:r>
          </w:p>
        </w:tc>
      </w:tr>
      <w:tr>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Random Forest + XGBoost rank blend (50/50)</w:t>
            </w:r>
          </w:p>
        </w:tc>
        <w:tc>
          <w:tcPr>
            <w:tcW w:type="dxa" w:w="34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Gap-matched: much lower (0.825 vs 0.887)</w:t>
            </w:r>
          </w:p>
        </w:tc>
        <w:tc>
          <w:tcPr>
            <w:tcW w:type="dxa" w:w="22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Lower</w:t>
            </w:r>
          </w:p>
        </w:tc>
      </w:tr>
      <w:tr>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Pseudo-labels, confidence ≥ 0.95</w:t>
            </w:r>
          </w:p>
        </w:tc>
        <w:tc>
          <w:tcPr>
            <w:tcW w:type="dxa" w:w="34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Adjacent: lower (0.9971 → 0.9640)</w:t>
            </w:r>
          </w:p>
        </w:tc>
        <w:tc>
          <w:tcPr>
            <w:tcW w:type="dxa" w:w="22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Lower</w:t>
            </w:r>
          </w:p>
        </w:tc>
      </w:tr>
      <w:tr>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Pseudo-labels, confidence ≥ 0.99</w:t>
            </w:r>
          </w:p>
        </w:tc>
        <w:tc>
          <w:tcPr>
            <w:tcW w:type="dxa" w:w="34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Adjacent: lower (0.9971 → 0.9858)</w:t>
            </w:r>
          </w:p>
        </w:tc>
        <w:tc>
          <w:tcPr>
            <w:tcW w:type="dxa" w:w="22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Lower</w:t>
            </w:r>
          </w:p>
        </w:tc>
      </w:tr>
      <w:tr>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Remove high-drift features</w:t>
            </w:r>
          </w:p>
        </w:tc>
        <w:tc>
          <w:tcPr>
            <w:tcW w:type="dxa" w:w="34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Gap-matched: higher (0.896 → 0.906)</w:t>
            </w:r>
          </w:p>
        </w:tc>
        <w:tc>
          <w:tcPr>
            <w:tcW w:type="dxa" w:w="22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Lower</w:t>
            </w:r>
          </w:p>
        </w:tc>
      </w:tr>
      <w:tr>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Half-life 20 instead of 10</w:t>
            </w:r>
          </w:p>
        </w:tc>
        <w:tc>
          <w:tcPr>
            <w:tcW w:type="dxa" w:w="34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Gap-matched: lower</w:t>
            </w:r>
          </w:p>
        </w:tc>
        <w:tc>
          <w:tcPr>
            <w:tcW w:type="dxa" w:w="22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Lower</w:t>
            </w:r>
          </w:p>
        </w:tc>
      </w:tr>
      <w:tr>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Community features alone (82 features)</w:t>
            </w:r>
          </w:p>
        </w:tc>
        <w:tc>
          <w:tcPr>
            <w:tcW w:type="dxa" w:w="34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Adjacent: slightly lower (0.9973 → 0.9960)</w:t>
            </w:r>
          </w:p>
        </w:tc>
        <w:tc>
          <w:tcPr>
            <w:tcW w:type="dxa" w:w="22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Lower</w:t>
            </w:r>
          </w:p>
        </w:tc>
      </w:tr>
      <w:tr>
        <w:tc>
          <w:tcPr>
            <w:tcW w:type="dxa" w:w="34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Stricter 0.8 duplicate threshold</w:t>
            </w:r>
          </w:p>
        </w:tc>
        <w:tc>
          <w:tcPr>
            <w:tcW w:type="dxa" w:w="34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Lower on validation</w:t>
            </w:r>
          </w:p>
        </w:tc>
        <w:tc>
          <w:tcPr>
            <w:tcW w:type="dxa" w:w="22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Not submitted</w:t>
            </w:r>
          </w:p>
        </w:tc>
      </w:tr>
    </w:tbl>
    <w:p>
      <w:pPr>
        <w:spacing w:after="200" w:before="60"/>
        <w:jc w:val="left"/>
      </w:pPr>
      <w:r>
        <w:rPr>
          <w:color w:val="52514E"/>
          <w:sz w:val="18"/>
          <w:szCs w:val="18"/>
        </w:rPr>
        <w:t xml:space="preserve">Table 6. Other experiments and their outcomes. Validation figures are ROC-AUC, recorded at the time of each experiment, so feature sets differ slightly between rows.</w:t>
      </w:r>
    </w:p>
    <w:p>
      <w:pPr>
        <w:spacing w:after="40" w:before="120"/>
      </w:pPr>
      <w:r>
        <w:drawing>
          <wp:inline distT="0" distB="0" distL="0" distR="0">
            <wp:extent cx="5715000" cy="4019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19550"/>
                    </a:xfrm>
                    <a:prstGeom prst="rect">
                      <a:avLst/>
                    </a:prstGeom>
                  </pic:spPr>
                </pic:pic>
              </a:graphicData>
            </a:graphic>
          </wp:inline>
        </w:drawing>
      </w:r>
    </w:p>
    <w:p>
      <w:pPr>
        <w:spacing w:after="200" w:before="60"/>
        <w:jc w:val="left"/>
      </w:pPr>
      <w:r>
        <w:rPr>
          <w:color w:val="52514E"/>
          <w:sz w:val="18"/>
          <w:szCs w:val="18"/>
        </w:rPr>
        <w:t xml:space="preserve">Figure 4. The 15 features with the largest mean absolute SHAP value in the final 45-feature model, as a share of total impact.</w:t>
      </w:r>
    </w:p>
    <w:p>
      <w:pPr>
        <w:pStyle w:val="Heading3"/>
        <w:spacing w:after="80" w:before="160"/>
      </w:pPr>
      <w:r>
        <w:t xml:space="preserve">Discussion</w:t>
      </w:r>
    </w:p>
    <w:p>
      <w:pPr>
        <w:spacing w:after="120" w:line="276"/>
      </w:pPr>
      <w:r>
        <w:rPr>
          <w:b/>
          <w:bCs/>
        </w:rPr>
        <w:t xml:space="preserve">The gap between validation and leaderboard is driven by temporal drift.</w:t>
      </w:r>
      <w:r>
        <w:t xml:space="preserve"> The adjacent split scored ROC-AUC ≈ 0.998 while the leaderboard scored 0.94–0.95. Several pieces of evidence point to drift as the cause: the illicit share varies widely between time steps (Figure 1), adversarial validation separated early from late periods perfectly, and both tree-based and linear models lost accuracy as the validation window moved further from training. The test period also includes the shutdown of a major dark market (around time step 43 in the original Elliptic study), after which illicit behaviour changes sharply; no training data covers that shift.</w:t>
      </w:r>
    </w:p>
    <w:p>
      <w:pPr>
        <w:spacing w:after="120" w:line="276"/>
      </w:pPr>
      <w:r>
        <w:rPr>
          <w:b/>
          <w:bCs/>
        </w:rPr>
        <w:t xml:space="preserve">The gap-matched split was right about large effects and unreliable about small ones.</w:t>
      </w:r>
      <w:r>
        <w:t xml:space="preserve"> It correctly identified recency weighting and the half-life, whose effects were large (+0.03). But it ranked the re-tuned XGBoost and the 31-leaf LightGBM above our final model, and both lost on the leaderboard. With a single validation window of about 4,900 rows, differences of 0.01–0.02 are within noise, and a grid of 72 configurations will find one that fits that window's quirks. The pattern across our experiments is consistent: more regularised models (shallow trees, slower learning, stronger L2 penalty) held up better on the later test period.</w:t>
      </w:r>
    </w:p>
    <w:p>
      <w:pPr>
        <w:spacing w:after="120" w:line="276"/>
      </w:pPr>
      <w:r>
        <w:rPr>
          <w:b/>
          <w:bCs/>
        </w:rPr>
        <w:t xml:space="preserve">Most failed experiments share a common cause.</w:t>
      </w:r>
      <w:r>
        <w:t xml:space="preserve"> Random Forest looked as good as XGBoost on the adjacent split but degraded faster at a distance (gap-matched ROC-AUC 0.822 vs 0.887), so blending it in imported its weakness exactly where the test set lies. Pseudo-labels inherit the neighbourhood assumption that drift undermines; even confident ones contain errors, and they raised the share of test transactions flagged as illicit. Removing the most time-revealing features also removed genuine signal. Each looked neutral or positive on a validation window close to the training data and failed on the later test period.</w:t>
      </w:r>
    </w:p>
    <w:p>
      <w:pPr>
        <w:spacing w:after="120" w:line="276"/>
      </w:pPr>
      <w:r>
        <w:rPr>
          <w:b/>
          <w:bCs/>
        </w:rPr>
        <w:t xml:space="preserve">Why graph features helped.</w:t>
      </w:r>
      <w:r>
        <w:t xml:space="preserve"> Graph features describe where a transaction sits in the network, which the anonymised features capture only indirectly. Six of the 11 made the final 45: community internal ratio, closeness, PageRank, two-hop reach, community density and community size. Together they account for about 5% of total SHAP impact. Each is individually small, but adding them raised the leaderboard score. PageRank barely depends on the time step (under 1% of its variance), so it keeps its relationship with the label across periods. Closeness and community size are more time-dependent (78% and 45% of variance) and both remain in the final model, which is a risk: a feature that partly encodes the period can act as a hidden clock and mislead the model once the test period moves outside the training range.</w:t>
      </w:r>
    </w:p>
    <w:p>
      <w:pPr>
        <w:spacing w:after="120" w:line="276"/>
      </w:pPr>
      <w:r>
        <w:rPr>
          <w:b/>
          <w:bCs/>
        </w:rPr>
        <w:t xml:space="preserve">Strengths.</w:t>
      </w:r>
      <w:r>
        <w:t xml:space="preserve"> The approach avoids temporal leakage throughout, diagnoses its main failure mode with evidence rather than guesswork, explains the final model's behaviour with SHAP, and documents negative results alongside positive ones.</w:t>
      </w:r>
    </w:p>
    <w:p>
      <w:pPr>
        <w:spacing w:after="120" w:line="276"/>
      </w:pPr>
      <w:r>
        <w:rPr>
          <w:b/>
          <w:bCs/>
        </w:rPr>
        <w:t xml:space="preserve">Limitations.</w:t>
      </w:r>
    </w:p>
    <w:p>
      <w:pPr>
        <w:pStyle w:val="ListParagraph"/>
        <w:numPr>
          <w:ilvl w:val="0"/>
          <w:numId w:val="2"/>
        </w:numPr>
        <w:spacing w:after="60" w:line="276"/>
      </w:pPr>
      <w:r>
        <w:t xml:space="preserve">Each validation split is a single window. The adjacent split is close to saturated (ROC-AUC ≈ 0.998), and the gap-matched split misranked fine-grained choices, so small improvements could not be measured reliably.</w:t>
      </w:r>
    </w:p>
    <w:p>
      <w:pPr>
        <w:pStyle w:val="ListParagraph"/>
        <w:numPr>
          <w:ilvl w:val="0"/>
          <w:numId w:val="2"/>
        </w:numPr>
        <w:spacing w:after="60" w:line="276"/>
      </w:pPr>
      <w:r>
        <w:t xml:space="preserve">More than a dozen submissions were checked on the public leaderboard, which carries some risk of overfitting to the public portion of the test set. The final choice (0.95483 against 0.95430) rests on a difference of the same size as that noise.</w:t>
      </w:r>
    </w:p>
    <w:p>
      <w:pPr>
        <w:pStyle w:val="ListParagraph"/>
        <w:numPr>
          <w:ilvl w:val="0"/>
          <w:numId w:val="2"/>
        </w:numPr>
        <w:spacing w:after="60" w:line="276"/>
      </w:pPr>
      <w:r>
        <w:t xml:space="preserve">The features are anonymised, which limits domain interpretation of what the model has learned.</w:t>
      </w:r>
    </w:p>
    <w:p>
      <w:pPr>
        <w:pStyle w:val="ListParagraph"/>
        <w:numPr>
          <w:ilvl w:val="0"/>
          <w:numId w:val="2"/>
        </w:numPr>
        <w:spacing w:after="60" w:line="276"/>
      </w:pPr>
      <w:r>
        <w:t xml:space="preserve">Betweenness was estimated by sampling, and graph neural networks were not explored.</w:t>
      </w:r>
    </w:p>
    <w:p>
      <w:pPr>
        <w:pStyle w:val="Heading1"/>
        <w:spacing w:after="120" w:before="280"/>
      </w:pPr>
      <w:r>
        <w:t xml:space="preserve">4. Conclusion and Reflection</w:t>
      </w:r>
    </w:p>
    <w:p>
      <w:pPr>
        <w:spacing w:after="120" w:line="276"/>
      </w:pPr>
      <w:r>
        <w:t xml:space="preserve">We built an XGBoost model for detecting illicit Bitcoin transactions that combines correlation- and VIF-based feature selection, label-free graph features, SHAP-based feature reduction and recency-weighted training, reaching a public leaderboard ROC-AUC of 0.95483. The main finding is that this is as much a problem of </w:t>
      </w:r>
      <w:r>
        <w:rPr>
          <w:b/>
          <w:bCs/>
        </w:rPr>
        <w:t xml:space="preserve">temporal drift</w:t>
      </w:r>
      <w:r>
        <w:t xml:space="preserve"> as of classification: models that look nearly perfect on data close to the training period lose a substantial part of their accuracy on later periods. Recency weighting, which lets the model rely more on recent behaviour, produced the largest gain, and graph features the second. A more flexible model (LightGBM), heavier tuning and ensembles did not beat a regularised XGBoost.</w:t>
      </w:r>
    </w:p>
    <w:p>
      <w:pPr>
        <w:spacing w:after="120" w:line="276"/>
      </w:pPr>
      <w:r>
        <w:rPr>
          <w:b/>
          <w:bCs/>
        </w:rPr>
        <w:t xml:space="preserve">What worked well</w:t>
      </w:r>
      <w:r>
        <w:t xml:space="preserve"> was disciplined validation. Choosing splits that respect time, and in particular one that matches the distance to the test period, steered us towards the changes that held up. </w:t>
      </w:r>
      <w:r>
        <w:rPr>
          <w:b/>
          <w:bCs/>
        </w:rPr>
        <w:t xml:space="preserve">What could be improved</w:t>
      </w:r>
      <w:r>
        <w:t xml:space="preserve">: rolling-origin validation over several windows would give more stable estimates than single splits and would have flagged the misleading tuning results earlier; features normalised within each time period could reduce drift; and graph neural networks or temporal graph models could learn structural patterns directly rather than through hand-crafted features.</w:t>
      </w:r>
    </w:p>
    <w:p>
      <w:pPr>
        <w:spacing w:after="120" w:line="276"/>
      </w:pPr>
      <w:r>
        <w:t xml:space="preserve">The project changed how we think about AI-driven fraud detection. Fraud is adversarial: as detection improves, criminals adapt, so a model's accuracy decays over time. A production system therefore needs time-aware validation, ongoing monitoring and regular retraining, not a one-off model. We also learned to treat small validation gains with caution and to value negative results, since understanding why an idea fails often reveals more about the data than an idea that works.</w:t>
      </w:r>
    </w:p>
    <w:p>
      <w:pPr>
        <w:pStyle w:val="Heading1"/>
        <w:spacing w:after="120" w:before="280"/>
      </w:pPr>
      <w:r>
        <w:t xml:space="preserve">Appendix: Code and Reproducibility</w:t>
      </w:r>
    </w:p>
    <w:p>
      <w:pPr>
        <w:spacing w:after="120" w:line="276"/>
      </w:pPr>
      <w:r>
        <w:t xml:space="preserve">The code is organised as numbered Jupyter notebooks, run in order. Notebooks 01–03 produce the final submission; 04 and 05 contain the supporting experiments.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Notebook</w:t>
            </w:r>
          </w:p>
        </w:tc>
        <w:tc>
          <w:tcPr>
            <w:tcW w:type="dxa" w:w="6026"/>
            <w:tcBorders>
              <w:top w:val="single" w:color="C9C7BF" w:sz="4"/>
              <w:left w:val="single" w:color="C9C7BF" w:sz="4"/>
              <w:bottom w:val="single" w:color="C9C7BF" w:sz="4"/>
              <w:right w:val="single" w:color="C9C7BF" w:sz="4"/>
            </w:tcBorders>
            <w:shd w:fill="EEF2F7" w:color="auto" w:val="clear"/>
            <w:tcMar>
              <w:top w:type="dxa" w:w="60"/>
              <w:left w:type="dxa" w:w="100"/>
              <w:bottom w:type="dxa" w:w="60"/>
              <w:right w:type="dxa" w:w="100"/>
            </w:tcMar>
          </w:tcPr>
          <w:p>
            <w:r>
              <w:rPr>
                <w:b/>
                <w:bCs/>
                <w:sz w:val="18"/>
                <w:szCs w:val="18"/>
              </w:rPr>
              <w:t xml:space="preserve">Contents</w:t>
            </w:r>
          </w:p>
        </w:tc>
      </w:tr>
      <w:tr>
        <w:tc>
          <w:tcPr>
            <w:tcW w:type="dxa" w:w="30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rFonts w:ascii="Consolas" w:cs="Consolas" w:eastAsia="Consolas" w:hAnsi="Consolas"/>
                <w:sz w:val="16"/>
                <w:szCs w:val="16"/>
              </w:rPr>
              <w:t xml:space="preserve">01_eda.ipynb</w:t>
            </w:r>
          </w:p>
        </w:tc>
        <w:tc>
          <w:tcPr>
            <w:tcW w:type="dxa" w:w="60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Exploratory analysis: class balance, illicit share over time, feature correlations, graph structure.</w:t>
            </w:r>
          </w:p>
        </w:tc>
      </w:tr>
      <w:tr>
        <w:tc>
          <w:tcPr>
            <w:tcW w:type="dxa" w:w="30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rFonts w:ascii="Consolas" w:cs="Consolas" w:eastAsia="Consolas" w:hAnsi="Consolas"/>
                <w:sz w:val="16"/>
                <w:szCs w:val="16"/>
              </w:rPr>
              <w:t xml:space="preserve">02_preprocessing.ipynb</w:t>
            </w:r>
          </w:p>
        </w:tc>
        <w:tc>
          <w:tcPr>
            <w:tcW w:type="dxa" w:w="60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Graph features (degree, centrality, Louvain communities, neighbourhood), near-duplicate and VIF filtering, label propagation. Writes the processed train and test files.</w:t>
            </w:r>
          </w:p>
        </w:tc>
      </w:tr>
      <w:tr>
        <w:tc>
          <w:tcPr>
            <w:tcW w:type="dxa" w:w="30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rFonts w:ascii="Consolas" w:cs="Consolas" w:eastAsia="Consolas" w:hAnsi="Consolas"/>
                <w:sz w:val="16"/>
                <w:szCs w:val="16"/>
              </w:rPr>
              <w:t xml:space="preserve">03_supervised_learning.ipynb</w:t>
            </w:r>
          </w:p>
        </w:tc>
        <w:tc>
          <w:tcPr>
            <w:tcW w:type="dxa" w:w="60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Baselines (Random Forest, XGBoost, LightGBM, Logistic Regression), drift diagnosis, the final model and SHAP, LightGBM exploration and ensembles, and an appendix of rejected experiments. Writes the final submission.</w:t>
            </w:r>
          </w:p>
        </w:tc>
      </w:tr>
      <w:tr>
        <w:tc>
          <w:tcPr>
            <w:tcW w:type="dxa" w:w="30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rFonts w:ascii="Consolas" w:cs="Consolas" w:eastAsia="Consolas" w:hAnsi="Consolas"/>
                <w:sz w:val="16"/>
                <w:szCs w:val="16"/>
              </w:rPr>
              <w:t xml:space="preserve">04_tuning.ipynb</w:t>
            </w:r>
          </w:p>
        </w:tc>
        <w:tc>
          <w:tcPr>
            <w:tcW w:type="dxa" w:w="60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Gap-matched experiments: half-life sweep, XGBoost and LightGBM hyperparameter grids, SHAP feature cuts.</w:t>
            </w:r>
          </w:p>
        </w:tc>
      </w:tr>
      <w:tr>
        <w:tc>
          <w:tcPr>
            <w:tcW w:type="dxa" w:w="3000"/>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rFonts w:ascii="Consolas" w:cs="Consolas" w:eastAsia="Consolas" w:hAnsi="Consolas"/>
                <w:sz w:val="16"/>
                <w:szCs w:val="16"/>
              </w:rPr>
              <w:t xml:space="preserve">05_ensemble.ipynb</w:t>
            </w:r>
          </w:p>
        </w:tc>
        <w:tc>
          <w:tcPr>
            <w:tcW w:type="dxa" w:w="6026"/>
            <w:tcBorders>
              <w:top w:val="single" w:color="C9C7BF" w:sz="4"/>
              <w:left w:val="single" w:color="C9C7BF" w:sz="4"/>
              <w:bottom w:val="single" w:color="C9C7BF" w:sz="4"/>
              <w:right w:val="single" w:color="C9C7BF" w:sz="4"/>
            </w:tcBorders>
            <w:tcMar>
              <w:top w:type="dxa" w:w="60"/>
              <w:left w:type="dxa" w:w="100"/>
              <w:bottom w:type="dxa" w:w="60"/>
              <w:right w:type="dxa" w:w="100"/>
            </w:tcMar>
          </w:tcPr>
          <w:p>
            <w:r>
              <w:rPr>
                <w:sz w:val="18"/>
                <w:szCs w:val="18"/>
              </w:rPr>
              <w:t xml:space="preserve">Random Forest + XGBoost rank-blend experiment.</w:t>
            </w:r>
          </w:p>
        </w:tc>
      </w:tr>
    </w:tbl>
    <w:p>
      <w:pPr>
        <w:spacing w:after="200" w:before="60"/>
        <w:jc w:val="left"/>
      </w:pPr>
      <w:r>
        <w:rPr>
          <w:color w:val="52514E"/>
          <w:sz w:val="18"/>
          <w:szCs w:val="18"/>
        </w:rPr>
        <w:t xml:space="preserve">Table 7. Notebooks.</w:t>
      </w:r>
    </w:p>
    <w:p>
      <w:pPr>
        <w:spacing w:after="120" w:line="276"/>
      </w:pPr>
      <w:r>
        <w:t xml:space="preserve">Data files are kept under </w:t>
      </w:r>
      <w:r>
        <w:rPr>
          <w:rFonts w:ascii="Consolas" w:cs="Consolas" w:eastAsia="Consolas" w:hAnsi="Consolas"/>
          <w:sz w:val="20"/>
          <w:szCs w:val="20"/>
        </w:rPr>
        <w:t xml:space="preserve">data/</w:t>
      </w:r>
      <w:r>
        <w:t xml:space="preserve">: </w:t>
      </w:r>
      <w:r>
        <w:rPr>
          <w:rFonts w:ascii="Consolas" w:cs="Consolas" w:eastAsia="Consolas" w:hAnsi="Consolas"/>
          <w:sz w:val="20"/>
          <w:szCs w:val="20"/>
        </w:rPr>
        <w:t xml:space="preserve">raw/</w:t>
      </w:r>
      <w:r>
        <w:t xml:space="preserve"> holds the competition files, </w:t>
      </w:r>
      <w:r>
        <w:rPr>
          <w:rFonts w:ascii="Consolas" w:cs="Consolas" w:eastAsia="Consolas" w:hAnsi="Consolas"/>
          <w:sz w:val="20"/>
          <w:szCs w:val="20"/>
        </w:rPr>
        <w:t xml:space="preserve">processed/</w:t>
      </w:r>
      <w:r>
        <w:t xml:space="preserve"> the feature tables written by notebook 02, and </w:t>
      </w:r>
      <w:r>
        <w:rPr>
          <w:rFonts w:ascii="Consolas" w:cs="Consolas" w:eastAsia="Consolas" w:hAnsi="Consolas"/>
          <w:sz w:val="20"/>
          <w:szCs w:val="20"/>
        </w:rPr>
        <w:t xml:space="preserve">submissions/</w:t>
      </w:r>
      <w:r>
        <w:t xml:space="preserve"> the final submission (</w:t>
      </w:r>
      <w:r>
        <w:rPr>
          <w:rFonts w:ascii="Consolas" w:cs="Consolas" w:eastAsia="Consolas" w:hAnsi="Consolas"/>
          <w:sz w:val="20"/>
          <w:szCs w:val="20"/>
        </w:rPr>
        <w:t xml:space="preserve">final_submission.csv</w:t>
      </w:r>
      <w:r>
        <w:t xml:space="preserve">) together with every experimental submission in </w:t>
      </w:r>
      <w:r>
        <w:rPr>
          <w:rFonts w:ascii="Consolas" w:cs="Consolas" w:eastAsia="Consolas" w:hAnsi="Consolas"/>
          <w:sz w:val="20"/>
          <w:szCs w:val="20"/>
        </w:rPr>
        <w:t xml:space="preserve">experiments/</w:t>
      </w:r>
      <w:r>
        <w:t xml:space="preserve">. Package versions are pinned in </w:t>
      </w:r>
      <w:r>
        <w:rPr>
          <w:rFonts w:ascii="Consolas" w:cs="Consolas" w:eastAsia="Consolas" w:hAnsi="Consolas"/>
          <w:sz w:val="20"/>
          <w:szCs w:val="20"/>
        </w:rPr>
        <w:t xml:space="preserve">requirements.txt</w:t>
      </w:r>
      <w:r>
        <w:t xml:space="preserve"> (Python 3.12; XGBoost 3.2, LightGBM 4.7, scikit-learn 1.8, NetworkX 3.2, SHAP 0.51). To reproduce the final submission, install the requirements, place the competition files in </w:t>
      </w:r>
      <w:r>
        <w:rPr>
          <w:rFonts w:ascii="Consolas" w:cs="Consolas" w:eastAsia="Consolas" w:hAnsi="Consolas"/>
          <w:sz w:val="20"/>
          <w:szCs w:val="20"/>
        </w:rPr>
        <w:t xml:space="preserve">data/raw/</w:t>
      </w:r>
      <w:r>
        <w:t xml:space="preserve">, and run notebooks 02 and 03; all models use fixed random seeds, and a rerun reproduces the submitted file exactly.</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F3A5F"/>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4d163a9a483c1302b7f5a46cfaf56e6956f2b71.png"/><Relationship Id="rId9" Type="http://schemas.openxmlformats.org/officeDocument/2006/relationships/image" Target="media/036b9b1c1611a130da080e6afe096c66cd92221f.png"/><Relationship Id="rId10" Type="http://schemas.openxmlformats.org/officeDocument/2006/relationships/image" Target="media/2acbea5a95671d2424cc80d5500cc99a2f002f36.png"/><Relationship Id="rId11" Type="http://schemas.openxmlformats.org/officeDocument/2006/relationships/image" Target="media/5dca9ecf922ffb47b9ea31664b706e4563e5515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2026-10-17T07:11:49.925Z</dcterms:created>
  <dcterms:modified xsi:type="dcterms:W3CDTF">2026-10-17T07:11:49.930Z</dcterms:modified>
</cp:coreProperties>
</file>

<file path=docProps/custom.xml><?xml version="1.0" encoding="utf-8"?>
<Properties xmlns="http://schemas.openxmlformats.org/officeDocument/2006/custom-properties" xmlns:vt="http://schemas.openxmlformats.org/officeDocument/2006/docPropsVTypes"/>
</file>