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 · Kaggle team: </w:t>
      </w:r>
      <w:r>
        <w:rPr>
          <w:color w:val="52514E"/>
          <w:sz w:val="21"/>
          <w:szCs w:val="21"/>
          <w:highlight w:val="yellow"/>
        </w:rPr>
        <w:t xml:space="preserve">[Team name]</w:t>
      </w:r>
    </w:p>
    <w:p>
      <w:pPr>
        <w:spacing w:after="20"/>
      </w:pPr>
      <w:r>
        <w:rPr>
          <w:color w:val="52514E"/>
          <w:sz w:val="21"/>
          <w:szCs w:val="21"/>
        </w:rPr>
        <w:t xml:space="preserve">Code: </w:t>
      </w:r>
      <w:hyperlink w:history="1" r:id="rId5bmz1ainbmcpys1b2fyfv">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estimate, for each Bitcoin transaction in a test set, the probability that it is </w:t>
      </w:r>
      <w:r>
        <w:rPr>
          <w:b/>
          <w:bCs/>
        </w:rPr>
        <w:t xml:space="preserve">illicit</w:t>
      </w:r>
      <w:r>
        <w:t xml:space="preserve"> (linked to scams, ransomware, darknet markets or other crime), scored by ROC-AUC. This is a core anti-money-laundering problem: every Bitcoin transaction is public and linked to the ones that funded it, but the volume is far too large for manual review, confirmed labels are scarce, and criminals adapt to avoid detection. A model that ranks transactions by risk lets investigators focus on the cases most likely to matter.</w:t>
      </w:r>
    </w:p>
    <w:p>
      <w:pPr>
        <w:spacing w:after="80" w:line="240"/>
      </w:pPr>
      <w:r>
        <w:t xml:space="preserve">The training set has 141,772 transactions over 35 time steps, each with 165 anonymised features; only 31,235 (22%) are labelled, and 11.7% of those are illicit. An edge list of 234,355 payment flows links transactions into a graph. All 15,329 test transactions come from </w:t>
      </w:r>
      <w:r>
        <w:rPr>
          <w:b/>
          <w:bCs/>
        </w:rPr>
        <w:t xml:space="preserve">later</w:t>
      </w:r>
      <w:r>
        <w:t xml:space="preserve"> time steps (36–49), so the task is a forecast into an unseen period. Our final model, a recency-weighted XGBoost on 45 features including label-free graph features, scores </w:t>
      </w:r>
      <w:r>
        <w:rPr>
          <w:b/>
          <w:bCs/>
        </w:rPr>
        <w:t xml:space="preserve">ROC-AUC 0.95483</w:t>
      </w:r>
      <w:r>
        <w:t xml:space="preserve"> on the public leaderboard, up from 0.940 for our first model. The main lesson is that this is as much a problem of </w:t>
      </w:r>
      <w:r>
        <w:rPr>
          <w:b/>
          <w:bCs/>
        </w:rPr>
        <w:t xml:space="preserve">temporal drift</w:t>
      </w:r>
      <w:r>
        <w:t xml:space="preserve"> as of classification.</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illicit share also swings between 0.4% and 36% across time steps (Figure 1), an early sign of drift. </w:t>
      </w:r>
      <w:r>
        <w:rPr>
          <w:rFonts w:ascii="Consolas" w:cs="Consolas" w:eastAsia="Consolas" w:hAnsi="Consolas"/>
          <w:sz w:val="20"/>
          <w:szCs w:val="20"/>
        </w:rPr>
        <w:t xml:space="preserve">time_step</w:t>
      </w:r>
      <w:r>
        <w:t xml:space="preserve"> itself is never a model input, because every test value lies outside the training range.</w:t>
      </w:r>
    </w:p>
    <w:p>
      <w:pPr>
        <w:keepNext/>
        <w:spacing w:after="0" w:before="60"/>
        <w:jc w:val="center"/>
      </w:pPr>
      <w:r>
        <w:drawing>
          <wp:inline distT="0" distB="0" distL="0" distR="0">
            <wp:extent cx="447675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819275"/>
                    </a:xfrm>
                    <a:prstGeom prst="rect">
                      <a:avLst/>
                    </a:prstGeom>
                  </pic:spPr>
                </pic:pic>
              </a:graphicData>
            </a:graphic>
          </wp:inline>
        </w:drawing>
      </w:r>
    </w:p>
    <w:p>
      <w:pPr>
        <w:spacing w:after="100" w:before="40"/>
        <w:jc w:val="left"/>
      </w:pPr>
      <w:r>
        <w:rPr>
          <w:color w:val="52514E"/>
          <w:sz w:val="18"/>
          <w:szCs w:val="18"/>
        </w:rPr>
        <w:t xml:space="preserve">Figure 1. Share of labelled transactions that are illicit, by time step.</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is non-zero for only 2.2% of transactions on a disconnected graph.</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Label propagation (k-nearest-neighbour, threshold 0.9) assigned confident pseudo-labels to 48,014 unlabelled transactions. Adding them to training lowered validation ROC-AUC (0.997 → 0.964 at confidence ≥ 0.95, 0.986 at ≥ 0.99) and the leaderboard score, so the final model uses genuine labels only. PCA, UMAP and clustering also showed no separate illicit cluster, favouring supervised models.</w:t>
      </w:r>
    </w:p>
    <w:p>
      <w:pPr>
        <w:pStyle w:val="Heading2"/>
        <w:keepNext/>
        <w:spacing w:after="40" w:before="120"/>
      </w:pPr>
      <w:r>
        <w:t xml:space="preserve">2.2 Model Development and Validation</w:t>
      </w:r>
    </w:p>
    <w:p>
      <w:pPr>
        <w:spacing w:after="80" w:line="240"/>
      </w:pPr>
      <w:r>
        <w:rPr>
          <w:b/>
          <w:bCs/>
        </w:rPr>
        <w:t xml:space="preserve">Temporal validation.</w:t>
      </w:r>
      <w:r>
        <w:t xml:space="preserve"> Random cross-validation would let future transactions inform predictions about the past, so every split respects time order. The </w:t>
      </w:r>
      <w:r>
        <w:rPr>
          <w:b/>
          <w:bCs/>
        </w:rPr>
        <w:t xml:space="preserve">adjacent split</w:t>
      </w:r>
      <w:r>
        <w:t xml:space="preserve"> trains on steps 1–30 and validates on 31–35; the </w:t>
      </w:r>
      <w:r>
        <w:rPr>
          <w:b/>
          <w:bCs/>
        </w:rPr>
        <w:t xml:space="preserve">gap-matched split</w:t>
      </w:r>
      <w:r>
        <w:t xml:space="preserve"> trains on 1–20 and validates on 30–35, mimicking the 1–14 step distance between training and test. Random Forest's grid search used a </w:t>
      </w:r>
      <w:r>
        <w:rPr>
          <w:rFonts w:ascii="Consolas" w:cs="Consolas" w:eastAsia="Consolas" w:hAnsi="Consolas"/>
          <w:sz w:val="20"/>
          <w:szCs w:val="20"/>
        </w:rPr>
        <w:t xml:space="preserve">PredefinedSplit</w:t>
      </w:r>
      <w:r>
        <w:t xml:space="preserve"> so that its single fold also respected time.</w:t>
      </w:r>
    </w:p>
    <w:p>
      <w:pPr>
        <w:spacing w:after="80" w:line="240"/>
      </w:pPr>
      <w:r>
        <w:rPr>
          <w:b/>
          <w:bCs/>
        </w:rPr>
        <w:t xml:space="preserve">Imbalance and recency weighting.</w:t>
      </w:r>
      <w:r>
        <w:t xml:space="preserve"> Illicit rows were weighted by the licit-to-illicit ratio (about 7.6). To counter drift, each row was also weighted by w = 0.5^((T − t)/h), so a row's weight halves every h steps back from the latest training step T. On the gap-matched split (Figure 2) a half-life of 10 clearly beat no weighting (0.881 vs. 0.854) and half-lives of 5, 20 and 40 (0.834–0.851). On the leaderboard it raised the score from 0.940 to 0.949, the largest single gain of the project.</w:t>
      </w:r>
    </w:p>
    <w:p>
      <w:pPr>
        <w:keepNext/>
        <w:spacing w:after="0" w:before="60"/>
        <w:jc w:val="center"/>
      </w:pPr>
      <w:r>
        <w:drawing>
          <wp:inline distT="0" distB="0" distL="0" distR="0">
            <wp:extent cx="381000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2. Gap-matched validation ROC-AUC of XGBoost by recency half-life.</w:t>
      </w:r>
    </w:p>
    <w:p>
      <w:pPr>
        <w:spacing w:after="80" w:line="240"/>
      </w:pPr>
      <w:r>
        <w:rPr>
          <w:b/>
          <w:bCs/>
        </w:rPr>
        <w:t xml:space="preserve">Tuning and overfitting control.</w:t>
      </w:r>
      <w:r>
        <w:t xml:space="preserve"> XGBoost was tuned over 72 configurations (depth, learning rate, row and column sampling, L2 penalty). The chosen settings are shallow and strongly regularised: 300 trees, </w:t>
      </w:r>
      <w:r>
        <w:rPr>
          <w:rFonts w:ascii="Consolas" w:cs="Consolas" w:eastAsia="Consolas" w:hAnsi="Consolas"/>
          <w:sz w:val="20"/>
          <w:szCs w:val="20"/>
        </w:rPr>
        <w:t xml:space="preserve">max_depth=4</w:t>
      </w:r>
      <w:r>
        <w:t xml:space="preserve">, learning rate 0.1, 70% of features per tree, </w:t>
      </w:r>
      <w:r>
        <w:rPr>
          <w:rFonts w:ascii="Consolas" w:cs="Consolas" w:eastAsia="Consolas" w:hAnsi="Consolas"/>
          <w:sz w:val="20"/>
          <w:szCs w:val="20"/>
        </w:rPr>
        <w:t xml:space="preserve">reg_lambda=5</w:t>
      </w:r>
      <w:r>
        <w:t xml:space="preserve">. Re-tuning after adding graph features preferred a faster, less regularised model (gap-matched 0.900 vs. 0.881), but it scored lower on the leaderboard (0.94936 vs. 0.95430), so we kept the regularised settings and stopped acting on small validation gains alone.</w:t>
      </w:r>
    </w:p>
    <w:p>
      <w:pPr>
        <w:spacing w:after="80" w:line="240"/>
      </w:pPr>
      <w:r>
        <w:rPr>
          <w:b/>
          <w:bCs/>
        </w:rPr>
        <w:t xml:space="preserve">SHAP-based selection.</w:t>
      </w:r>
      <w:r>
        <w:t xml:space="preserve"> Ranking the 85 features by mean |SHAP| (on training rows only) and keeping the top 45 matched all 85 on the gap-matched split (0.8819 vs. 0.8809) and on the leaderboard (0.95483 vs. 0.95430), with half the features. We kept the smaller model for simplicity, not for a meaningful gain.</w:t>
      </w:r>
    </w:p>
    <w:p>
      <w:pPr>
        <w:pStyle w:val="Heading2"/>
        <w:keepNext/>
        <w:spacing w:after="40" w:before="120"/>
      </w:pPr>
      <w:r>
        <w:t xml:space="preserve">2.3 Model Exploration and Final Strategy</w:t>
      </w:r>
    </w:p>
    <w:p>
      <w:pPr>
        <w:spacing w:after="80" w:line="240"/>
      </w:pPr>
      <w:r>
        <w:t xml:space="preserve">We compared Logistic Regression, Random Forest, XGBoost, LightGBM and a neural network (a multi-layer perceptron with one hidden layer of 64 ReLU units, quantile-transformed inputs and predictions averaged over five random seeds), as well as rank-averaged ensembles. Table 1 summarises the main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Leaderboard</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b/>
                <w:bCs/>
                <w:sz w:val="18"/>
                <w:szCs w:val="18"/>
              </w:rPr>
              <w:t xml:space="preserve">0.95483</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0.94936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0.95286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LightGBM, 31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0.896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0.93907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0.91393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0.95098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0.825 (worse)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w:t>
      </w:r>
    </w:p>
    <w:p>
      <w:pPr>
        <w:spacing w:after="80" w:line="240"/>
      </w:pPr>
      <w:r>
        <w:rPr>
          <w:b/>
          <w:bCs/>
        </w:rPr>
        <w:t xml:space="preserve">Logistic Regression</w:t>
      </w:r>
      <w:r>
        <w:t xml:space="preserve"> was far weaker, so the boundary between licit and illicit is strongly non-linear. </w:t>
      </w:r>
      <w:r>
        <w:rPr>
          <w:b/>
          <w:bCs/>
        </w:rPr>
        <w:t xml:space="preserve">Random Forest</w:t>
      </w:r>
      <w:r>
        <w:t xml:space="preserve"> was the most precise baseline (illicit precision 0.988) but missed over a quarter of illicit transactions and degraded fastest away from the training period. </w:t>
      </w:r>
      <w:r>
        <w:rPr>
          <w:b/>
          <w:bCs/>
        </w:rPr>
        <w:t xml:space="preserve">LightGBM</w:t>
      </w:r>
      <w:r>
        <w:t xml:space="preserve"> edged XGBoost on the adjacent split, but even its best tuned versions lost on the leaderboard. </w:t>
      </w:r>
      <w:r>
        <w:rPr>
          <w:b/>
          <w:bCs/>
        </w:rPr>
        <w:t xml:space="preserve">The MLP</w:t>
      </w:r>
      <w:r>
        <w:t xml:space="preserve"> ranked transactions very differently from XGBoost (rank correlation 0.68 on the test set), yet it was too weak for a blend to help; a deeper two-layer network did worse still. Ensembles with LightGBM gained nothing because the two models agreed closely (correlation 0.94).</w:t>
      </w:r>
    </w:p>
    <w:p>
      <w:pPr>
        <w:spacing w:after="80" w:line="240"/>
      </w:pPr>
      <w:r>
        <w:rPr>
          <w:b/>
          <w:bCs/>
        </w:rPr>
        <w:t xml:space="preserve">Final strategy.</w:t>
      </w:r>
      <w:r>
        <w:t xml:space="preserve"> We accepted a change only when validation supported it and the leaderboard confirmed it. The </w:t>
      </w:r>
      <w:r>
        <w:rPr>
          <w:b/>
          <w:bCs/>
        </w:rPr>
        <w:t xml:space="preserve">final submission</w:t>
      </w:r>
      <w:r>
        <w:t xml:space="preserve"> is the regularised XGBoost above, trained on all 31,235 labelled transactions with class and recency weighting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286250" cy="2409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409825"/>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and both tree and linear models lost accuracy as the validation window moved further from training (e.g. Logistic Regression 0.875 → 0.818). The test period also spans the shutdown of a major dark market (around step 43 in the original Elliptic study), a shift no training data covers. Recency weighting, which lets the model rely more on recent behaviour, was therefore the most valuable change.</w:t>
      </w:r>
    </w:p>
    <w:p>
      <w:pPr>
        <w:spacing w:after="80" w:line="240"/>
      </w:pPr>
      <w:r>
        <w:rPr>
          <w:b/>
          <w:bCs/>
        </w:rPr>
        <w:t xml:space="preserve">Neither validation split was reliable on its own</w:t>
      </w:r>
      <w:r>
        <w:t xml:space="preserve"> (Table 1). The gap-matched split was right about training choices (recency weighting, the half-life) and about the Random Forest blend, which the adjacent split favoured, but it favoured every more flexible model, and all of them lost on the leaderboard.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4),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Six of the 11 graph features made the final 45, together about 5% of total impact, yet adding them raised the leaderboard score. PageRank barely depends on the time step, but community size is partly a proxy for the period (45% of its variance), a hidden-clock risk under drift.</w:t>
      </w:r>
    </w:p>
    <w:p>
      <w:pPr>
        <w:spacing w:after="80" w:line="240"/>
      </w:pPr>
      <w:r>
        <w:rPr>
          <w:b/>
          <w:bCs/>
        </w:rPr>
        <w:t xml:space="preserve">Better communities did not mean better features.</w:t>
      </w:r>
      <w:r>
        <w:t xml:space="preserve"> Louvain is known to merge small groups into very large communities (the resolution limit of modularity); here the typical transaction sat in a community of about 3,200. Running the Leiden algorithm separately within each time step fixed this (typical size 89) and made community size far less time-dependent (21%), but validation was essentially unchanged and the leaderboard score did not improve, so we kept Louvain. Removing the most time-revealing features also lowered the score: drifting features can still carry signal.</w:t>
      </w:r>
    </w:p>
    <w:p>
      <w:pPr>
        <w:keepNext/>
        <w:spacing w:after="0" w:before="60"/>
        <w:jc w:val="center"/>
      </w:pPr>
      <w:r>
        <w:drawing>
          <wp:inline distT="0" distB="0" distL="0" distR="0">
            <wp:extent cx="3238500" cy="227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4.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 and betweenness was estimated by sampling.</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pseudo-labels and cleaner communities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 and reproducibility:</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at </w:t>
      </w:r>
      <w:hyperlink w:history="1" r:id="rIdlt-faf7lm95yl48_ecwp2">
        <w:r>
          <w:rPr>
            <w:rStyle w:val="Hyperlink"/>
            <w:color w:val="1F5FBF"/>
            <w:u w:val="single"/>
          </w:rPr>
          <w:t xml:space="preserve">https://github.com/timc5nn/BT4012</w:t>
        </w:r>
      </w:hyperlink>
      <w:r>
        <w:t xml:space="preserve">; running </w:t>
      </w:r>
      <w:r>
        <w:rPr>
          <w:rFonts w:ascii="Consolas" w:cs="Consolas" w:eastAsia="Consolas" w:hAnsi="Consolas"/>
          <w:sz w:val="20"/>
          <w:szCs w:val="20"/>
        </w:rPr>
        <w:t xml:space="preserve">02_preprocessing</w:t>
      </w:r>
      <w:r>
        <w:t xml:space="preserve"> then </w:t>
      </w:r>
      <w:r>
        <w:rPr>
          <w:rFonts w:ascii="Consolas" w:cs="Consolas" w:eastAsia="Consolas" w:hAnsi="Consolas"/>
          <w:sz w:val="20"/>
          <w:szCs w:val="20"/>
        </w:rPr>
        <w:t xml:space="preserve">03_supervised_learning</w:t>
      </w:r>
      <w:r>
        <w:t xml:space="preserve"> reproduces the final submission exactly (package versions in </w:t>
      </w:r>
      <w:r>
        <w:rPr>
          <w:rFonts w:ascii="Consolas" w:cs="Consolas" w:eastAsia="Consolas" w:hAnsi="Consolas"/>
          <w:sz w:val="20"/>
          <w:szCs w:val="20"/>
        </w:rPr>
        <w:t xml:space="preserve">requirements.txt</w:t>
      </w:r>
      <w:r>
        <w:t xml:space="preserve">).</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5bmz1ainbmcpys1b2fyfv" Type="http://schemas.openxmlformats.org/officeDocument/2006/relationships/hyperlink" Target="https://github.com/timc5nn/BT4012" TargetMode="External"/><Relationship Id="rIdlt-faf7lm95yl48_ecwp2" Type="http://schemas.openxmlformats.org/officeDocument/2006/relationships/hyperlink" Target="https://github.com/timc5nn/BT4012" TargetMode="External"/><Relationship Id="rId10" Type="http://schemas.openxmlformats.org/officeDocument/2006/relationships/image" Target="media/c4d163a9a483c1302b7f5a46cfaf56e6956f2b71.png"/><Relationship Id="rId11" Type="http://schemas.openxmlformats.org/officeDocument/2006/relationships/image" Target="media/036b9b1c1611a130da080e6afe096c66cd92221f.png"/><Relationship Id="rId12" Type="http://schemas.openxmlformats.org/officeDocument/2006/relationships/image" Target="media/2fd04d6efad5106aeb082f18a8bac69bd1212f99.png"/><Relationship Id="rId13" Type="http://schemas.openxmlformats.org/officeDocument/2006/relationships/image" Target="media/5dca9ecf922ffb47b9ea31664b706e4563e5515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2026-10-18T11:06:39.854Z</dcterms:created>
  <dcterms:modified xsi:type="dcterms:W3CDTF">2026-10-18T11:06:39.859Z</dcterms:modified>
</cp:coreProperties>
</file>

<file path=docProps/custom.xml><?xml version="1.0" encoding="utf-8"?>
<Properties xmlns="http://schemas.openxmlformats.org/officeDocument/2006/custom-properties" xmlns:vt="http://schemas.openxmlformats.org/officeDocument/2006/docPropsVTypes"/>
</file>