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4E5C6" w14:textId="77777777" w:rsidR="000537AD" w:rsidRDefault="000537AD" w:rsidP="002A69C3">
      <w:pPr>
        <w:spacing w:after="0" w:line="240" w:lineRule="auto"/>
        <w:rPr>
          <w:rFonts w:cstheme="minorHAnsi"/>
        </w:rPr>
      </w:pPr>
    </w:p>
    <w:p w14:paraId="157D4CEB" w14:textId="2D3C23C4" w:rsidR="002A69C3" w:rsidRDefault="00FC3843" w:rsidP="002A69C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 have an initial public offering for your company to raise funds for a new generation of your most popular model. </w:t>
      </w:r>
      <w:r w:rsidR="00164ED4">
        <w:rPr>
          <w:rFonts w:cstheme="minorHAnsi"/>
        </w:rPr>
        <w:t>It is</w:t>
      </w:r>
      <w:r>
        <w:rPr>
          <w:rFonts w:cstheme="minorHAnsi"/>
        </w:rPr>
        <w:t xml:space="preserve"> wildly more successful than you forecasted and now you have record orders. </w:t>
      </w:r>
    </w:p>
    <w:p w14:paraId="5F0B5956" w14:textId="516F2A82" w:rsidR="00FC3843" w:rsidRDefault="00FC3843" w:rsidP="002A69C3">
      <w:pPr>
        <w:spacing w:after="0" w:line="240" w:lineRule="auto"/>
        <w:rPr>
          <w:rFonts w:cstheme="minorHAnsi"/>
        </w:rPr>
      </w:pPr>
    </w:p>
    <w:p w14:paraId="30BE9724" w14:textId="20365D18" w:rsidR="00FC3843" w:rsidRDefault="00FC3843" w:rsidP="002A69C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Your company has been in business for 20 years making roughly similar iterations of three models for your entire tenure in business. The business is doing </w:t>
      </w:r>
      <w:r w:rsidR="00164ED4">
        <w:rPr>
          <w:rFonts w:cstheme="minorHAnsi"/>
        </w:rPr>
        <w:t>well but</w:t>
      </w:r>
      <w:r>
        <w:rPr>
          <w:rFonts w:cstheme="minorHAnsi"/>
        </w:rPr>
        <w:t xml:space="preserve"> </w:t>
      </w:r>
      <w:r w:rsidR="00164ED4">
        <w:rPr>
          <w:rFonts w:cstheme="minorHAnsi"/>
        </w:rPr>
        <w:t>has not</w:t>
      </w:r>
      <w:r>
        <w:rPr>
          <w:rFonts w:cstheme="minorHAnsi"/>
        </w:rPr>
        <w:t xml:space="preserve"> lived up to performance expectation from industry analysts. Your executive board has agreed that there needs to be a revolutionary change in design in your Formula model to stay competitive. The engineering team has initial models and simulations for </w:t>
      </w:r>
      <w:r w:rsidR="00A23BE5">
        <w:rPr>
          <w:rFonts w:cstheme="minorHAnsi"/>
        </w:rPr>
        <w:t xml:space="preserve">a </w:t>
      </w:r>
      <w:r>
        <w:rPr>
          <w:rFonts w:cstheme="minorHAnsi"/>
        </w:rPr>
        <w:t xml:space="preserve">vehicle that outperforms every car in your class. However, you’ll need to raise more money for them to complete the design, build prototypes, and ramp up production in a retooled shop. You decide to </w:t>
      </w:r>
      <w:r w:rsidR="0000754D">
        <w:rPr>
          <w:rFonts w:cstheme="minorHAnsi"/>
        </w:rPr>
        <w:t>list your company on the stock market</w:t>
      </w:r>
      <w:r>
        <w:rPr>
          <w:rFonts w:cstheme="minorHAnsi"/>
        </w:rPr>
        <w:t xml:space="preserve"> and do an </w:t>
      </w:r>
      <w:r w:rsidR="0000754D">
        <w:rPr>
          <w:rFonts w:cstheme="minorHAnsi"/>
        </w:rPr>
        <w:t>initial public offering (</w:t>
      </w:r>
      <w:r>
        <w:rPr>
          <w:rFonts w:cstheme="minorHAnsi"/>
        </w:rPr>
        <w:t>IPO</w:t>
      </w:r>
      <w:r w:rsidR="0000754D">
        <w:rPr>
          <w:rFonts w:cstheme="minorHAnsi"/>
        </w:rPr>
        <w:t>)</w:t>
      </w:r>
      <w:r>
        <w:rPr>
          <w:rFonts w:cstheme="minorHAnsi"/>
        </w:rPr>
        <w:t xml:space="preserve"> for the necessary funds.</w:t>
      </w:r>
    </w:p>
    <w:p w14:paraId="75F7EF91" w14:textId="43AE7620" w:rsidR="00FC3843" w:rsidRDefault="00FC3843" w:rsidP="002A69C3">
      <w:pPr>
        <w:spacing w:after="0" w:line="240" w:lineRule="auto"/>
        <w:rPr>
          <w:rFonts w:cstheme="minorHAnsi"/>
        </w:rPr>
      </w:pPr>
    </w:p>
    <w:p w14:paraId="16F68B8F" w14:textId="7509FE8A" w:rsidR="00FC3843" w:rsidRDefault="00E813B9" w:rsidP="002A69C3">
      <w:pPr>
        <w:spacing w:after="0" w:line="240" w:lineRule="auto"/>
        <w:rPr>
          <w:rFonts w:cstheme="minorHAnsi"/>
        </w:rPr>
      </w:pPr>
      <w:r>
        <w:rPr>
          <w:rFonts w:cstheme="minorHAnsi"/>
        </w:rPr>
        <w:t>At the close of trading</w:t>
      </w:r>
      <w:r w:rsidR="00C24EAC">
        <w:rPr>
          <w:rFonts w:cstheme="minorHAnsi"/>
        </w:rPr>
        <w:t xml:space="preserve"> on January 4th</w:t>
      </w:r>
      <w:r w:rsidR="00FC3843">
        <w:rPr>
          <w:rFonts w:cstheme="minorHAnsi"/>
        </w:rPr>
        <w:t>, your share price is $20</w:t>
      </w:r>
      <w:r w:rsidR="006260D6">
        <w:rPr>
          <w:rFonts w:cstheme="minorHAnsi"/>
        </w:rPr>
        <w:t>. You don’t expect it to go above $50 because previous IPOs in the industry have generated little attention.</w:t>
      </w:r>
      <w:r w:rsidR="00FC3843">
        <w:rPr>
          <w:rFonts w:cstheme="minorHAnsi"/>
        </w:rPr>
        <w:t xml:space="preserve"> An hour later, it jumped up to $150. By the end of the day, </w:t>
      </w:r>
      <w:r w:rsidR="006260D6">
        <w:rPr>
          <w:rFonts w:cstheme="minorHAnsi"/>
        </w:rPr>
        <w:t>shares of your company are selling at $750, and you have 2500 orders for the new Formula model.</w:t>
      </w:r>
    </w:p>
    <w:p w14:paraId="1709068E" w14:textId="504D27DD" w:rsidR="006260D6" w:rsidRDefault="006260D6" w:rsidP="002A69C3">
      <w:pPr>
        <w:spacing w:after="0" w:line="240" w:lineRule="auto"/>
        <w:rPr>
          <w:rFonts w:cstheme="minorHAnsi"/>
        </w:rPr>
      </w:pPr>
    </w:p>
    <w:p w14:paraId="3AFF1E8E" w14:textId="132E85AC" w:rsidR="006260D6" w:rsidRPr="002A69C3" w:rsidRDefault="006260D6" w:rsidP="002A69C3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ACACEDA" wp14:editId="78E4381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953F1C" w14:textId="182003C7" w:rsidR="00D61B04" w:rsidRDefault="00D61B04" w:rsidP="00C24EAC">
      <w:pPr>
        <w:spacing w:after="160" w:line="259" w:lineRule="auto"/>
        <w:rPr>
          <w:rFonts w:cstheme="minorHAnsi"/>
        </w:rPr>
      </w:pPr>
    </w:p>
    <w:p w14:paraId="1F3DB0DA" w14:textId="78CE2EFA" w:rsidR="00C24EAC" w:rsidRDefault="00C24EAC" w:rsidP="00C24EAC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A. </w:t>
      </w:r>
      <w:r w:rsidR="0000754D">
        <w:rPr>
          <w:rFonts w:cstheme="minorHAnsi"/>
        </w:rPr>
        <w:t xml:space="preserve">Your competitors were also paying attention to your IPO, and you have reason to believe they may follow the same path in the next 12-18 months. </w:t>
      </w:r>
      <w:r>
        <w:rPr>
          <w:rFonts w:cstheme="minorHAnsi"/>
        </w:rPr>
        <w:t>Determine if your company can fill all</w:t>
      </w:r>
      <w:r w:rsidR="00A23BE5">
        <w:rPr>
          <w:rFonts w:cstheme="minorHAnsi"/>
        </w:rPr>
        <w:t>, some, or none of these</w:t>
      </w:r>
      <w:r>
        <w:rPr>
          <w:rFonts w:cstheme="minorHAnsi"/>
        </w:rPr>
        <w:t xml:space="preserve"> orders and if it is a strategic benefit to do so.</w:t>
      </w:r>
      <w:r w:rsidR="0000754D">
        <w:rPr>
          <w:rFonts w:cstheme="minorHAnsi"/>
        </w:rPr>
        <w:t xml:space="preserve"> You estimate with your mid-case forecast that you </w:t>
      </w:r>
      <w:r w:rsidR="000C7A2D">
        <w:rPr>
          <w:rFonts w:cstheme="minorHAnsi"/>
        </w:rPr>
        <w:t>may</w:t>
      </w:r>
      <w:r w:rsidR="0000754D">
        <w:rPr>
          <w:rFonts w:cstheme="minorHAnsi"/>
        </w:rPr>
        <w:t xml:space="preserve"> have</w:t>
      </w:r>
      <w:r w:rsidR="00A23BE5">
        <w:rPr>
          <w:rFonts w:cstheme="minorHAnsi"/>
        </w:rPr>
        <w:t xml:space="preserve"> </w:t>
      </w:r>
      <w:r w:rsidR="000C7A2D">
        <w:rPr>
          <w:rFonts w:cstheme="minorHAnsi"/>
        </w:rPr>
        <w:t>between 50%</w:t>
      </w:r>
      <w:r w:rsidR="00A23BE5">
        <w:rPr>
          <w:rFonts w:cstheme="minorHAnsi"/>
        </w:rPr>
        <w:t xml:space="preserve"> to</w:t>
      </w:r>
      <w:r w:rsidR="0000754D">
        <w:rPr>
          <w:rFonts w:cstheme="minorHAnsi"/>
        </w:rPr>
        <w:t xml:space="preserve"> 70% of the total market share.</w:t>
      </w:r>
    </w:p>
    <w:p w14:paraId="47703735" w14:textId="3023E00F" w:rsidR="00C24EAC" w:rsidRDefault="00C24EAC" w:rsidP="00C24EAC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B. </w:t>
      </w:r>
      <w:r w:rsidR="00A23BE5">
        <w:rPr>
          <w:rFonts w:cstheme="minorHAnsi"/>
        </w:rPr>
        <w:t xml:space="preserve">Defend your decision. </w:t>
      </w:r>
      <w:r>
        <w:rPr>
          <w:rFonts w:cstheme="minorHAnsi"/>
        </w:rPr>
        <w:t xml:space="preserve">If you decide to fill </w:t>
      </w:r>
      <w:r w:rsidR="00A23BE5">
        <w:rPr>
          <w:rFonts w:cstheme="minorHAnsi"/>
        </w:rPr>
        <w:t xml:space="preserve">any or </w:t>
      </w:r>
      <w:r>
        <w:rPr>
          <w:rFonts w:cstheme="minorHAnsi"/>
        </w:rPr>
        <w:t xml:space="preserve">all future orders for the redesigned Formula model, develop a plan to </w:t>
      </w:r>
      <w:r w:rsidR="000C7A2D">
        <w:rPr>
          <w:rFonts w:cstheme="minorHAnsi"/>
        </w:rPr>
        <w:t xml:space="preserve">meet </w:t>
      </w:r>
      <w:r>
        <w:rPr>
          <w:rFonts w:cstheme="minorHAnsi"/>
        </w:rPr>
        <w:t>increase</w:t>
      </w:r>
      <w:r w:rsidR="000C7A2D">
        <w:rPr>
          <w:rFonts w:cstheme="minorHAnsi"/>
        </w:rPr>
        <w:t>d</w:t>
      </w:r>
      <w:r>
        <w:rPr>
          <w:rFonts w:cstheme="minorHAnsi"/>
        </w:rPr>
        <w:t xml:space="preserve"> capacity </w:t>
      </w:r>
      <w:r w:rsidR="000C7A2D">
        <w:rPr>
          <w:rFonts w:cstheme="minorHAnsi"/>
        </w:rPr>
        <w:t>of the</w:t>
      </w:r>
      <w:r>
        <w:rPr>
          <w:rFonts w:cstheme="minorHAnsi"/>
        </w:rPr>
        <w:t xml:space="preserve"> high</w:t>
      </w:r>
      <w:r w:rsidR="000C7A2D">
        <w:rPr>
          <w:rFonts w:cstheme="minorHAnsi"/>
        </w:rPr>
        <w:t>er</w:t>
      </w:r>
      <w:r>
        <w:rPr>
          <w:rFonts w:cstheme="minorHAnsi"/>
        </w:rPr>
        <w:t xml:space="preserve"> forecast.</w:t>
      </w:r>
    </w:p>
    <w:p w14:paraId="104A3725" w14:textId="77777777" w:rsidR="00C24EAC" w:rsidRPr="00C24EAC" w:rsidRDefault="00C24EAC" w:rsidP="00C24EAC">
      <w:pPr>
        <w:spacing w:after="160" w:line="259" w:lineRule="auto"/>
        <w:rPr>
          <w:rFonts w:cstheme="minorHAnsi"/>
        </w:rPr>
      </w:pPr>
    </w:p>
    <w:sectPr w:rsidR="00C24EAC" w:rsidRPr="00C24E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4D038" w14:textId="77777777" w:rsidR="00E873F9" w:rsidRDefault="00E873F9" w:rsidP="002A69C3">
      <w:pPr>
        <w:spacing w:after="0" w:line="240" w:lineRule="auto"/>
      </w:pPr>
      <w:r>
        <w:separator/>
      </w:r>
    </w:p>
  </w:endnote>
  <w:endnote w:type="continuationSeparator" w:id="0">
    <w:p w14:paraId="0FF31A70" w14:textId="77777777" w:rsidR="00E873F9" w:rsidRDefault="00E873F9" w:rsidP="002A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14864" w14:textId="77777777" w:rsidR="00E873F9" w:rsidRDefault="00E873F9" w:rsidP="002A69C3">
      <w:pPr>
        <w:spacing w:after="0" w:line="240" w:lineRule="auto"/>
      </w:pPr>
      <w:r>
        <w:separator/>
      </w:r>
    </w:p>
  </w:footnote>
  <w:footnote w:type="continuationSeparator" w:id="0">
    <w:p w14:paraId="05F06317" w14:textId="77777777" w:rsidR="00E873F9" w:rsidRDefault="00E873F9" w:rsidP="002A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7FC0" w14:textId="56927A36" w:rsidR="000537AD" w:rsidRPr="000537AD" w:rsidRDefault="00C00D79">
    <w:pPr>
      <w:pStyle w:val="Header"/>
      <w:rPr>
        <w:b/>
        <w:bCs/>
        <w:sz w:val="28"/>
        <w:szCs w:val="28"/>
      </w:rPr>
    </w:pPr>
    <w:r w:rsidRPr="000537AD">
      <w:rPr>
        <w:b/>
        <w:bCs/>
        <w:noProof/>
        <w:sz w:val="28"/>
        <w:szCs w:val="28"/>
      </w:rPr>
      <w:drawing>
        <wp:anchor distT="152400" distB="152400" distL="152400" distR="152400" simplePos="0" relativeHeight="251659776" behindDoc="1" locked="0" layoutInCell="1" allowOverlap="1" wp14:anchorId="0BC1AC90" wp14:editId="2E9D8AF0">
          <wp:simplePos x="0" y="0"/>
          <wp:positionH relativeFrom="margin">
            <wp:align>right</wp:align>
          </wp:positionH>
          <wp:positionV relativeFrom="page">
            <wp:posOffset>371475</wp:posOffset>
          </wp:positionV>
          <wp:extent cx="1178560" cy="428625"/>
          <wp:effectExtent l="0" t="0" r="2540" b="9525"/>
          <wp:wrapNone/>
          <wp:docPr id="1073741825" name="officeArt object" descr="A picture containing clock, objec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clock, object&#10;&#10;Description automatically generated" descr="A picture containing clock, object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8560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0537AD" w:rsidRPr="000537AD">
      <w:rPr>
        <w:b/>
        <w:bCs/>
        <w:sz w:val="28"/>
        <w:szCs w:val="28"/>
      </w:rPr>
      <w:t xml:space="preserve">2021 </w:t>
    </w:r>
    <w:r w:rsidR="002A69C3" w:rsidRPr="000537AD">
      <w:rPr>
        <w:b/>
        <w:bCs/>
        <w:sz w:val="28"/>
        <w:szCs w:val="28"/>
      </w:rPr>
      <w:t>Formula SAE Virtual Cost</w:t>
    </w:r>
  </w:p>
  <w:p w14:paraId="77AC867F" w14:textId="03539407" w:rsidR="002A69C3" w:rsidRPr="000537AD" w:rsidRDefault="002A69C3">
    <w:pPr>
      <w:pStyle w:val="Header"/>
      <w:rPr>
        <w:b/>
        <w:bCs/>
        <w:sz w:val="28"/>
        <w:szCs w:val="28"/>
      </w:rPr>
    </w:pPr>
    <w:r w:rsidRPr="000537AD">
      <w:rPr>
        <w:b/>
        <w:bCs/>
        <w:sz w:val="28"/>
        <w:szCs w:val="28"/>
      </w:rPr>
      <w:t>Detailed Real Case Scenarios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D0DED"/>
    <w:multiLevelType w:val="hybridMultilevel"/>
    <w:tmpl w:val="FB407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C3"/>
    <w:rsid w:val="0000754D"/>
    <w:rsid w:val="000403FA"/>
    <w:rsid w:val="000537AD"/>
    <w:rsid w:val="00097C99"/>
    <w:rsid w:val="000C7A2D"/>
    <w:rsid w:val="00164561"/>
    <w:rsid w:val="00164ED4"/>
    <w:rsid w:val="001A48E9"/>
    <w:rsid w:val="002A69C3"/>
    <w:rsid w:val="0032160B"/>
    <w:rsid w:val="00350FA6"/>
    <w:rsid w:val="0050531E"/>
    <w:rsid w:val="005800A0"/>
    <w:rsid w:val="005D4D26"/>
    <w:rsid w:val="006260D6"/>
    <w:rsid w:val="006430B3"/>
    <w:rsid w:val="00661022"/>
    <w:rsid w:val="007A246B"/>
    <w:rsid w:val="007C3719"/>
    <w:rsid w:val="008762D7"/>
    <w:rsid w:val="00897E82"/>
    <w:rsid w:val="008E11A6"/>
    <w:rsid w:val="00936B6C"/>
    <w:rsid w:val="009C068C"/>
    <w:rsid w:val="00A23BE5"/>
    <w:rsid w:val="00A724BC"/>
    <w:rsid w:val="00A90E1F"/>
    <w:rsid w:val="00B0567F"/>
    <w:rsid w:val="00C00D79"/>
    <w:rsid w:val="00C150ED"/>
    <w:rsid w:val="00C24EAC"/>
    <w:rsid w:val="00D61B04"/>
    <w:rsid w:val="00E57A5B"/>
    <w:rsid w:val="00E76376"/>
    <w:rsid w:val="00E813B9"/>
    <w:rsid w:val="00E873F9"/>
    <w:rsid w:val="00EF68CE"/>
    <w:rsid w:val="00F47B95"/>
    <w:rsid w:val="00FC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AF13"/>
  <w15:chartTrackingRefBased/>
  <w15:docId w15:val="{07403F79-AC09-4748-AEF5-051FB4E6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C3"/>
  </w:style>
  <w:style w:type="paragraph" w:styleId="Footer">
    <w:name w:val="footer"/>
    <w:basedOn w:val="Normal"/>
    <w:link w:val="FooterChar"/>
    <w:uiPriority w:val="99"/>
    <w:unhideWhenUsed/>
    <w:rsid w:val="002A6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C3"/>
  </w:style>
  <w:style w:type="paragraph" w:styleId="CommentText">
    <w:name w:val="annotation text"/>
    <w:basedOn w:val="Normal"/>
    <w:link w:val="CommentTextChar"/>
    <w:uiPriority w:val="99"/>
    <w:semiHidden/>
    <w:unhideWhenUsed/>
    <w:rsid w:val="002A69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9C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A69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69C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Formula Model Past</a:t>
            </a:r>
            <a:r>
              <a:rPr lang="en-US" baseline="0"/>
              <a:t> Sales vs Forecast After IPO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Past 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Sheet1!$A$2:$A$27</c:f>
              <c:strCache>
                <c:ptCount val="2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Jan</c:v>
                </c:pt>
                <c:pt idx="13">
                  <c:v>Feb</c:v>
                </c:pt>
                <c:pt idx="14">
                  <c:v>Mar</c:v>
                </c:pt>
                <c:pt idx="15">
                  <c:v>Apr</c:v>
                </c:pt>
                <c:pt idx="16">
                  <c:v>May</c:v>
                </c:pt>
                <c:pt idx="17">
                  <c:v>Jun</c:v>
                </c:pt>
                <c:pt idx="18">
                  <c:v>Jul</c:v>
                </c:pt>
                <c:pt idx="19">
                  <c:v>Aug</c:v>
                </c:pt>
                <c:pt idx="20">
                  <c:v>Sep</c:v>
                </c:pt>
                <c:pt idx="21">
                  <c:v>Oct</c:v>
                </c:pt>
                <c:pt idx="22">
                  <c:v>Nov</c:v>
                </c:pt>
                <c:pt idx="23">
                  <c:v>Dec</c:v>
                </c:pt>
                <c:pt idx="24">
                  <c:v>Jan</c:v>
                </c:pt>
                <c:pt idx="25">
                  <c:v>Feb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74</c:v>
                </c:pt>
                <c:pt idx="1">
                  <c:v>135</c:v>
                </c:pt>
                <c:pt idx="2">
                  <c:v>173</c:v>
                </c:pt>
                <c:pt idx="3">
                  <c:v>211</c:v>
                </c:pt>
                <c:pt idx="4">
                  <c:v>247</c:v>
                </c:pt>
                <c:pt idx="5">
                  <c:v>285</c:v>
                </c:pt>
                <c:pt idx="6">
                  <c:v>216</c:v>
                </c:pt>
                <c:pt idx="7">
                  <c:v>199</c:v>
                </c:pt>
                <c:pt idx="8">
                  <c:v>168</c:v>
                </c:pt>
                <c:pt idx="9">
                  <c:v>132</c:v>
                </c:pt>
                <c:pt idx="10">
                  <c:v>85</c:v>
                </c:pt>
                <c:pt idx="11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B5-4475-ADCC-0B57009E67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High Forecast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Sheet1!$A$2:$A$27</c:f>
              <c:strCache>
                <c:ptCount val="2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Jan</c:v>
                </c:pt>
                <c:pt idx="13">
                  <c:v>Feb</c:v>
                </c:pt>
                <c:pt idx="14">
                  <c:v>Mar</c:v>
                </c:pt>
                <c:pt idx="15">
                  <c:v>Apr</c:v>
                </c:pt>
                <c:pt idx="16">
                  <c:v>May</c:v>
                </c:pt>
                <c:pt idx="17">
                  <c:v>Jun</c:v>
                </c:pt>
                <c:pt idx="18">
                  <c:v>Jul</c:v>
                </c:pt>
                <c:pt idx="19">
                  <c:v>Aug</c:v>
                </c:pt>
                <c:pt idx="20">
                  <c:v>Sep</c:v>
                </c:pt>
                <c:pt idx="21">
                  <c:v>Oct</c:v>
                </c:pt>
                <c:pt idx="22">
                  <c:v>Nov</c:v>
                </c:pt>
                <c:pt idx="23">
                  <c:v>Dec</c:v>
                </c:pt>
                <c:pt idx="24">
                  <c:v>Jan</c:v>
                </c:pt>
                <c:pt idx="25">
                  <c:v>Feb</c:v>
                </c:pt>
              </c:strCache>
            </c:strRef>
          </c:cat>
          <c:val>
            <c:numRef>
              <c:f>Sheet1!$C$2:$C$27</c:f>
              <c:numCache>
                <c:formatCode>General</c:formatCode>
                <c:ptCount val="26"/>
                <c:pt idx="12">
                  <c:v>552</c:v>
                </c:pt>
                <c:pt idx="13">
                  <c:v>591</c:v>
                </c:pt>
                <c:pt idx="14">
                  <c:v>730</c:v>
                </c:pt>
                <c:pt idx="15">
                  <c:v>891</c:v>
                </c:pt>
                <c:pt idx="16">
                  <c:v>1098</c:v>
                </c:pt>
                <c:pt idx="17">
                  <c:v>1124</c:v>
                </c:pt>
                <c:pt idx="18">
                  <c:v>1305</c:v>
                </c:pt>
                <c:pt idx="19">
                  <c:v>1428</c:v>
                </c:pt>
                <c:pt idx="20">
                  <c:v>1633</c:v>
                </c:pt>
                <c:pt idx="21">
                  <c:v>1785</c:v>
                </c:pt>
                <c:pt idx="22">
                  <c:v>1543</c:v>
                </c:pt>
                <c:pt idx="23">
                  <c:v>1465</c:v>
                </c:pt>
                <c:pt idx="24">
                  <c:v>1396</c:v>
                </c:pt>
                <c:pt idx="25">
                  <c:v>1556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B5-4475-ADCC-0B57009E67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Mid Forecast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Sheet1!$A$2:$A$27</c:f>
              <c:strCache>
                <c:ptCount val="2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Jan</c:v>
                </c:pt>
                <c:pt idx="13">
                  <c:v>Feb</c:v>
                </c:pt>
                <c:pt idx="14">
                  <c:v>Mar</c:v>
                </c:pt>
                <c:pt idx="15">
                  <c:v>Apr</c:v>
                </c:pt>
                <c:pt idx="16">
                  <c:v>May</c:v>
                </c:pt>
                <c:pt idx="17">
                  <c:v>Jun</c:v>
                </c:pt>
                <c:pt idx="18">
                  <c:v>Jul</c:v>
                </c:pt>
                <c:pt idx="19">
                  <c:v>Aug</c:v>
                </c:pt>
                <c:pt idx="20">
                  <c:v>Sep</c:v>
                </c:pt>
                <c:pt idx="21">
                  <c:v>Oct</c:v>
                </c:pt>
                <c:pt idx="22">
                  <c:v>Nov</c:v>
                </c:pt>
                <c:pt idx="23">
                  <c:v>Dec</c:v>
                </c:pt>
                <c:pt idx="24">
                  <c:v>Jan</c:v>
                </c:pt>
                <c:pt idx="25">
                  <c:v>Feb</c:v>
                </c:pt>
              </c:strCache>
            </c:strRef>
          </c:cat>
          <c:val>
            <c:numRef>
              <c:f>Sheet1!$D$2:$D$27</c:f>
              <c:numCache>
                <c:formatCode>General</c:formatCode>
                <c:ptCount val="26"/>
                <c:pt idx="12">
                  <c:v>502</c:v>
                </c:pt>
                <c:pt idx="13">
                  <c:v>541</c:v>
                </c:pt>
                <c:pt idx="14">
                  <c:v>680</c:v>
                </c:pt>
                <c:pt idx="15">
                  <c:v>771</c:v>
                </c:pt>
                <c:pt idx="16">
                  <c:v>945</c:v>
                </c:pt>
                <c:pt idx="17">
                  <c:v>1032</c:v>
                </c:pt>
                <c:pt idx="18">
                  <c:v>1183</c:v>
                </c:pt>
                <c:pt idx="19">
                  <c:v>1190</c:v>
                </c:pt>
                <c:pt idx="20">
                  <c:v>1362</c:v>
                </c:pt>
                <c:pt idx="21">
                  <c:v>1241</c:v>
                </c:pt>
                <c:pt idx="22">
                  <c:v>1169</c:v>
                </c:pt>
                <c:pt idx="23">
                  <c:v>1262</c:v>
                </c:pt>
                <c:pt idx="24">
                  <c:v>1032</c:v>
                </c:pt>
                <c:pt idx="25">
                  <c:v>1248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B5-4475-ADCC-0B57009E671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Low Forecast: Actual Orders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Sheet1!$A$2:$A$27</c:f>
              <c:strCache>
                <c:ptCount val="2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Jan</c:v>
                </c:pt>
                <c:pt idx="13">
                  <c:v>Feb</c:v>
                </c:pt>
                <c:pt idx="14">
                  <c:v>Mar</c:v>
                </c:pt>
                <c:pt idx="15">
                  <c:v>Apr</c:v>
                </c:pt>
                <c:pt idx="16">
                  <c:v>May</c:v>
                </c:pt>
                <c:pt idx="17">
                  <c:v>Jun</c:v>
                </c:pt>
                <c:pt idx="18">
                  <c:v>Jul</c:v>
                </c:pt>
                <c:pt idx="19">
                  <c:v>Aug</c:v>
                </c:pt>
                <c:pt idx="20">
                  <c:v>Sep</c:v>
                </c:pt>
                <c:pt idx="21">
                  <c:v>Oct</c:v>
                </c:pt>
                <c:pt idx="22">
                  <c:v>Nov</c:v>
                </c:pt>
                <c:pt idx="23">
                  <c:v>Dec</c:v>
                </c:pt>
                <c:pt idx="24">
                  <c:v>Jan</c:v>
                </c:pt>
                <c:pt idx="25">
                  <c:v>Feb</c:v>
                </c:pt>
              </c:strCache>
            </c:strRef>
          </c:cat>
          <c:val>
            <c:numRef>
              <c:f>Sheet1!$E$2:$E$27</c:f>
              <c:numCache>
                <c:formatCode>General</c:formatCode>
                <c:ptCount val="26"/>
                <c:pt idx="12">
                  <c:v>462</c:v>
                </c:pt>
                <c:pt idx="13">
                  <c:v>510</c:v>
                </c:pt>
                <c:pt idx="14">
                  <c:v>651</c:v>
                </c:pt>
                <c:pt idx="15">
                  <c:v>731</c:v>
                </c:pt>
                <c:pt idx="16">
                  <c:v>873</c:v>
                </c:pt>
                <c:pt idx="17">
                  <c:v>1000</c:v>
                </c:pt>
                <c:pt idx="18">
                  <c:v>1026</c:v>
                </c:pt>
                <c:pt idx="19">
                  <c:v>1188</c:v>
                </c:pt>
                <c:pt idx="20">
                  <c:v>1252</c:v>
                </c:pt>
                <c:pt idx="21">
                  <c:v>1114</c:v>
                </c:pt>
                <c:pt idx="22">
                  <c:v>1022</c:v>
                </c:pt>
                <c:pt idx="23">
                  <c:v>811</c:v>
                </c:pt>
                <c:pt idx="24">
                  <c:v>779</c:v>
                </c:pt>
                <c:pt idx="25">
                  <c:v>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0B5-4475-ADCC-0B57009E6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1155759"/>
        <c:axId val="637440223"/>
      </c:lineChart>
      <c:catAx>
        <c:axId val="64115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440223"/>
        <c:crosses val="autoZero"/>
        <c:auto val="1"/>
        <c:lblAlgn val="ctr"/>
        <c:lblOffset val="100"/>
        <c:noMultiLvlLbl val="0"/>
      </c:catAx>
      <c:valAx>
        <c:axId val="63744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Units Sold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155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Rodgers</dc:creator>
  <cp:keywords/>
  <dc:description/>
  <cp:lastModifiedBy>Jamie Knauff</cp:lastModifiedBy>
  <cp:revision>2</cp:revision>
  <dcterms:created xsi:type="dcterms:W3CDTF">2020-11-18T16:04:00Z</dcterms:created>
  <dcterms:modified xsi:type="dcterms:W3CDTF">2020-11-18T16:04:00Z</dcterms:modified>
</cp:coreProperties>
</file>