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FGE LNG Services Competitive Analysis</w:t>
      </w:r>
    </w:p>
    <w:p>
      <w:pPr>
        <w:pStyle w:val="Heading1"/>
        <w:jc w:val="center"/>
      </w:pPr>
      <w:r>
        <w:t>Market Intelligence Portfolio Assessment &amp; Strategic Recommendations</w:t>
      </w:r>
    </w:p>
    <w:p>
      <w:r>
        <w:t>Prepared for: FACTS Global Energy</w:t>
      </w:r>
    </w:p>
    <w:p>
      <w:r>
        <w:t>Date: January 2025</w:t>
      </w:r>
    </w:p>
    <w:p>
      <w:r>
        <w:br w:type="page"/>
      </w:r>
    </w:p>
    <w:p>
      <w:pPr>
        <w:pStyle w:val="Heading1"/>
      </w:pPr>
      <w:r>
        <w:t>Executive Summary</w:t>
      </w:r>
    </w:p>
    <w:p>
      <w:r>
        <w:t>This comprehensive analysis examines FACTS Global Energy's (FGE) LNG market intelligence service portfolio and competitive positioning. The study reveals FGE's transformation from a regional specialist to a global LNG intelligence leader following the acquisition of Nexant's World Gas Model (WGM).</w:t>
      </w:r>
    </w:p>
    <w:p>
      <w:r>
        <w:t>Key findings include FGE's unique positioning as the only provider combining specialized LNG commercial intelligence with quantitative global modeling capabilities. The analysis identifies significant market opportunities, particularly in China and gas procurement segments, while highlighting areas for service optimization.</w:t>
      </w:r>
    </w:p>
    <w:p>
      <w:pPr>
        <w:pStyle w:val="Heading1"/>
      </w:pPr>
      <w:r>
        <w:t>Table of Contents</w:t>
      </w:r>
    </w:p>
    <w:p>
      <w:pPr>
        <w:pStyle w:val="ListBullet"/>
      </w:pPr>
      <w:r>
        <w:t>1. Service Portfolio Analysis</w:t>
      </w:r>
    </w:p>
    <w:p>
      <w:pPr>
        <w:pStyle w:val="ListBullet"/>
      </w:pPr>
      <w:r>
        <w:t>2. Market Segmentation &amp; Target Customers</w:t>
      </w:r>
    </w:p>
    <w:p>
      <w:pPr>
        <w:pStyle w:val="ListBullet"/>
      </w:pPr>
      <w:r>
        <w:t>3. Competitive Landscape Assessment</w:t>
      </w:r>
    </w:p>
    <w:p>
      <w:pPr>
        <w:pStyle w:val="ListBullet"/>
      </w:pPr>
      <w:r>
        <w:t>4. Nexant WGM Integration Impact</w:t>
      </w:r>
    </w:p>
    <w:p>
      <w:pPr>
        <w:pStyle w:val="ListBullet"/>
      </w:pPr>
      <w:r>
        <w:t>5. Strategic Recommendations</w:t>
      </w:r>
    </w:p>
    <w:p>
      <w:pPr>
        <w:pStyle w:val="ListBullet"/>
      </w:pPr>
      <w:r>
        <w:t>6. Market Opportunities</w:t>
      </w:r>
    </w:p>
    <w:p>
      <w:pPr>
        <w:pStyle w:val="ListBullet"/>
      </w:pPr>
      <w:r>
        <w:t>7. Risk Assessment</w:t>
      </w:r>
    </w:p>
    <w:p>
      <w:pPr>
        <w:pStyle w:val="ListBullet"/>
      </w:pPr>
      <w:r>
        <w:t>8. Implementation Roadmap</w:t>
      </w:r>
    </w:p>
    <w:p>
      <w:r>
        <w:br w:type="page"/>
      </w:r>
    </w:p>
    <w:p>
      <w:pPr>
        <w:pStyle w:val="Heading1"/>
      </w:pPr>
      <w:r>
        <w:t>1. Service Portfolio Analysis</w:t>
      </w:r>
    </w:p>
    <w:p>
      <w:pPr>
        <w:pStyle w:val="Heading2"/>
      </w:pPr>
      <w:r>
        <w:t>1.1 Service Overview</w:t>
      </w:r>
    </w:p>
    <w:p>
      <w:r>
        <w:t>FGE offers 9 distinct LNG market intelligence services, each targeting specific market segments and customer needs. The portfolio spans from commercial intelligence to quantitative modeling, providing comprehensive coverage of the LNG value chain.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Service</w:t>
            </w:r>
          </w:p>
        </w:tc>
        <w:tc>
          <w:tcPr>
            <w:tcW w:type="dxa" w:w="2160"/>
          </w:tcPr>
          <w:p>
            <w:r>
              <w:t>Market Rating</w:t>
            </w:r>
          </w:p>
        </w:tc>
        <w:tc>
          <w:tcPr>
            <w:tcW w:type="dxa" w:w="2160"/>
          </w:tcPr>
          <w:p>
            <w:r>
              <w:t>TAM Size</w:t>
            </w:r>
          </w:p>
        </w:tc>
        <w:tc>
          <w:tcPr>
            <w:tcW w:type="dxa" w:w="2160"/>
          </w:tcPr>
          <w:p>
            <w:r>
              <w:t>Key Features</w:t>
            </w:r>
          </w:p>
        </w:tc>
      </w:tr>
      <w:tr>
        <w:tc>
          <w:tcPr>
            <w:tcW w:type="dxa" w:w="2160"/>
          </w:tcPr>
          <w:p>
            <w:r>
              <w:t>LNG Confidential</w:t>
            </w:r>
          </w:p>
        </w:tc>
        <w:tc>
          <w:tcPr>
            <w:tcW w:type="dxa" w:w="2160"/>
          </w:tcPr>
          <w:p>
            <w:r>
              <w:t>Mixed</w:t>
            </w:r>
          </w:p>
        </w:tc>
        <w:tc>
          <w:tcPr>
            <w:tcW w:type="dxa" w:w="2160"/>
          </w:tcPr>
          <w:p>
            <w:r>
              <w:t>50</w:t>
            </w:r>
          </w:p>
        </w:tc>
        <w:tc>
          <w:tcPr>
            <w:tcW w:type="dxa" w:w="2160"/>
          </w:tcPr>
          <w:p>
            <w:r>
              <w:t>Commercial intelligence for short-term market</w:t>
            </w:r>
          </w:p>
        </w:tc>
      </w:tr>
      <w:tr>
        <w:tc>
          <w:tcPr>
            <w:tcW w:type="dxa" w:w="2160"/>
          </w:tcPr>
          <w:p>
            <w:r>
              <w:t>ODSGold</w:t>
            </w:r>
          </w:p>
        </w:tc>
        <w:tc>
          <w:tcPr>
            <w:tcW w:type="dxa" w:w="2160"/>
          </w:tcPr>
          <w:p>
            <w:r>
              <w:t>Medium</w:t>
            </w:r>
          </w:p>
        </w:tc>
        <w:tc>
          <w:tcPr>
            <w:tcW w:type="dxa" w:w="2160"/>
          </w:tcPr>
          <w:p>
            <w:r>
              <w:t>50</w:t>
            </w:r>
          </w:p>
        </w:tc>
        <w:tc>
          <w:tcPr>
            <w:tcW w:type="dxa" w:w="2160"/>
          </w:tcPr>
          <w:p>
            <w:r>
              <w:t>Portfolio balance analysis</w:t>
            </w:r>
          </w:p>
        </w:tc>
      </w:tr>
      <w:tr>
        <w:tc>
          <w:tcPr>
            <w:tcW w:type="dxa" w:w="2160"/>
          </w:tcPr>
          <w:p>
            <w:r>
              <w:t>ODSPlatinum</w:t>
            </w:r>
          </w:p>
        </w:tc>
        <w:tc>
          <w:tcPr>
            <w:tcW w:type="dxa" w:w="2160"/>
          </w:tcPr>
          <w:p>
            <w:r>
              <w:t>Medium-High</w:t>
            </w:r>
          </w:p>
        </w:tc>
        <w:tc>
          <w:tcPr>
            <w:tcW w:type="dxa" w:w="2160"/>
          </w:tcPr>
          <w:p>
            <w:r>
              <w:t>50</w:t>
            </w:r>
          </w:p>
        </w:tc>
        <w:tc>
          <w:tcPr>
            <w:tcW w:type="dxa" w:w="2160"/>
          </w:tcPr>
          <w:p>
            <w:r>
              <w:t>Quantitative portfolio intelligence</w:t>
            </w:r>
          </w:p>
        </w:tc>
      </w:tr>
      <w:tr>
        <w:tc>
          <w:tcPr>
            <w:tcW w:type="dxa" w:w="2160"/>
          </w:tcPr>
          <w:p>
            <w:r>
              <w:t>Quarterlies</w:t>
            </w:r>
          </w:p>
        </w:tc>
        <w:tc>
          <w:tcPr>
            <w:tcW w:type="dxa" w:w="2160"/>
          </w:tcPr>
          <w:p>
            <w:r>
              <w:t>Medium</w:t>
            </w:r>
          </w:p>
        </w:tc>
        <w:tc>
          <w:tcPr>
            <w:tcW w:type="dxa" w:w="2160"/>
          </w:tcPr>
          <w:p>
            <w:r>
              <w:t>50</w:t>
            </w:r>
          </w:p>
        </w:tc>
        <w:tc>
          <w:tcPr>
            <w:tcW w:type="dxa" w:w="2160"/>
          </w:tcPr>
          <w:p>
            <w:r>
              <w:t>Market outlook reports</w:t>
            </w:r>
          </w:p>
        </w:tc>
      </w:tr>
      <w:tr>
        <w:tc>
          <w:tcPr>
            <w:tcW w:type="dxa" w:w="2160"/>
          </w:tcPr>
          <w:p>
            <w:r>
              <w:t>China</w:t>
            </w:r>
          </w:p>
        </w:tc>
        <w:tc>
          <w:tcPr>
            <w:tcW w:type="dxa" w:w="2160"/>
          </w:tcPr>
          <w:p>
            <w:r>
              <w:t>High</w:t>
            </w:r>
          </w:p>
        </w:tc>
        <w:tc>
          <w:tcPr>
            <w:tcW w:type="dxa" w:w="2160"/>
          </w:tcPr>
          <w:p>
            <w:r>
              <w:t>50</w:t>
            </w:r>
          </w:p>
        </w:tc>
        <w:tc>
          <w:tcPr>
            <w:tcW w:type="dxa" w:w="2160"/>
          </w:tcPr>
          <w:p>
            <w:r>
              <w:t>China-specific market analysis</w:t>
            </w:r>
          </w:p>
        </w:tc>
      </w:tr>
      <w:tr>
        <w:tc>
          <w:tcPr>
            <w:tcW w:type="dxa" w:w="2160"/>
          </w:tcPr>
          <w:p>
            <w:r>
              <w:t>MENAGAS</w:t>
            </w:r>
          </w:p>
        </w:tc>
        <w:tc>
          <w:tcPr>
            <w:tcW w:type="dxa" w:w="2160"/>
          </w:tcPr>
          <w:p>
            <w:r>
              <w:t>Low</w:t>
            </w:r>
          </w:p>
        </w:tc>
        <w:tc>
          <w:tcPr>
            <w:tcW w:type="dxa" w:w="2160"/>
          </w:tcPr>
          <w:p>
            <w:r>
              <w:t>50</w:t>
            </w:r>
          </w:p>
        </w:tc>
        <w:tc>
          <w:tcPr>
            <w:tcW w:type="dxa" w:w="2160"/>
          </w:tcPr>
          <w:p>
            <w:r>
              <w:t>Middle East/North Africa analysis</w:t>
            </w:r>
          </w:p>
        </w:tc>
      </w:tr>
      <w:tr>
        <w:tc>
          <w:tcPr>
            <w:tcW w:type="dxa" w:w="2160"/>
          </w:tcPr>
          <w:p>
            <w:r>
              <w:t>SPOT</w:t>
            </w:r>
          </w:p>
        </w:tc>
        <w:tc>
          <w:tcPr>
            <w:tcW w:type="dxa" w:w="2160"/>
          </w:tcPr>
          <w:p>
            <w:r>
              <w:t>Medium-Low</w:t>
            </w:r>
          </w:p>
        </w:tc>
        <w:tc>
          <w:tcPr>
            <w:tcW w:type="dxa" w:w="2160"/>
          </w:tcPr>
          <w:p>
            <w:r>
              <w:t>50</w:t>
            </w:r>
          </w:p>
        </w:tc>
        <w:tc>
          <w:tcPr>
            <w:tcW w:type="dxa" w:w="2160"/>
          </w:tcPr>
          <w:p>
            <w:r>
              <w:t>Short-term market fundamentals</w:t>
            </w:r>
          </w:p>
        </w:tc>
      </w:tr>
      <w:tr>
        <w:tc>
          <w:tcPr>
            <w:tcW w:type="dxa" w:w="2160"/>
          </w:tcPr>
          <w:p>
            <w:r>
              <w:t>Alerts</w:t>
            </w:r>
          </w:p>
        </w:tc>
        <w:tc>
          <w:tcPr>
            <w:tcW w:type="dxa" w:w="2160"/>
          </w:tcPr>
          <w:p>
            <w:r>
              <w:t>Medium</w:t>
            </w:r>
          </w:p>
        </w:tc>
        <w:tc>
          <w:tcPr>
            <w:tcW w:type="dxa" w:w="2160"/>
          </w:tcPr>
          <w:p>
            <w:r>
              <w:t>N/A</w:t>
            </w:r>
          </w:p>
        </w:tc>
        <w:tc>
          <w:tcPr>
            <w:tcW w:type="dxa" w:w="2160"/>
          </w:tcPr>
          <w:p>
            <w:r>
              <w:t>Reactive analysis services</w:t>
            </w:r>
          </w:p>
        </w:tc>
      </w:tr>
      <w:tr>
        <w:tc>
          <w:tcPr>
            <w:tcW w:type="dxa" w:w="2160"/>
          </w:tcPr>
          <w:p>
            <w:r>
              <w:t>EOSG</w:t>
            </w:r>
          </w:p>
        </w:tc>
        <w:tc>
          <w:tcPr>
            <w:tcW w:type="dxa" w:w="2160"/>
          </w:tcPr>
          <w:p>
            <w:r>
              <w:t>Low-Medium</w:t>
            </w:r>
          </w:p>
        </w:tc>
        <w:tc>
          <w:tcPr>
            <w:tcW w:type="dxa" w:w="2160"/>
          </w:tcPr>
          <w:p>
            <w:r>
              <w:t>N/A</w:t>
            </w:r>
          </w:p>
        </w:tc>
        <w:tc>
          <w:tcPr>
            <w:tcW w:type="dxa" w:w="2160"/>
          </w:tcPr>
          <w:p>
            <w:r>
              <w:t>East of Suez gas analysis</w:t>
            </w:r>
          </w:p>
        </w:tc>
      </w:tr>
    </w:tbl>
    <w:p>
      <w:pPr>
        <w:pStyle w:val="Heading2"/>
      </w:pPr>
      <w:r>
        <w:t>1.2 Service Performance Analysis</w:t>
      </w:r>
    </w:p>
    <w:p>
      <w:r>
        <w:t>Analysis of the Excel data reveals distinct performance tiers among FGE's services:</w:t>
      </w:r>
    </w:p>
    <w:p>
      <w:pPr>
        <w:pStyle w:val="Heading3"/>
      </w:pPr>
      <w:r>
        <w:t>High-Performing Services:</w:t>
      </w:r>
    </w:p>
    <w:p>
      <w:r>
        <w:t>• China: Demonstrates strong market appeal with "High" rating</w:t>
      </w:r>
    </w:p>
    <w:p>
      <w:r>
        <w:t>• ODSPlatinum: Shows "Medium-High" performance</w:t>
      </w:r>
    </w:p>
    <w:p>
      <w:pPr>
        <w:pStyle w:val="Heading3"/>
      </w:pPr>
      <w:r>
        <w:t>Medium-Performing Services:</w:t>
      </w:r>
    </w:p>
    <w:p>
      <w:r>
        <w:t>• LNG Confidential, ODSGold, Quarterlies, Alerts: Consistent "Medium" ratings</w:t>
      </w:r>
    </w:p>
    <w:p>
      <w:pPr>
        <w:pStyle w:val="Heading3"/>
      </w:pPr>
      <w:r>
        <w:t>Underperforming Services:</w:t>
      </w:r>
    </w:p>
    <w:p>
      <w:r>
        <w:t>• MENAGAS: "Low" rating indicates limited market appeal</w:t>
      </w:r>
    </w:p>
    <w:p>
      <w:r>
        <w:t>• SPOT, EOSG: "Medium-Low" to "Low-Medium" ratings</w:t>
      </w:r>
    </w:p>
    <w:p>
      <w:pPr>
        <w:pStyle w:val="Heading1"/>
      </w:pPr>
      <w:r>
        <w:t>2. Market Segmentation &amp; Target Customers</w:t>
      </w:r>
    </w:p>
    <w:p>
      <w:pPr>
        <w:pStyle w:val="Heading2"/>
      </w:pPr>
      <w:r>
        <w:t>2.1 Customer Segments</w:t>
      </w:r>
    </w:p>
    <w:p>
      <w:r>
        <w:t>FGE targets 10 distinct customer segments across the LNG value chain:</w:t>
      </w:r>
    </w:p>
    <w:p>
      <w:pPr>
        <w:pStyle w:val="ListBullet"/>
      </w:pPr>
      <w:r>
        <w:t>• International Oil Companies (IOCs)</w:t>
      </w:r>
    </w:p>
    <w:p>
      <w:pPr>
        <w:pStyle w:val="ListBullet"/>
      </w:pPr>
      <w:r>
        <w:t>• National Oil Companies (NOCs)</w:t>
      </w:r>
    </w:p>
    <w:p>
      <w:pPr>
        <w:pStyle w:val="ListBullet"/>
      </w:pPr>
      <w:r>
        <w:t>• Trading Houses</w:t>
      </w:r>
    </w:p>
    <w:p>
      <w:pPr>
        <w:pStyle w:val="ListBullet"/>
      </w:pPr>
      <w:r>
        <w:t>• Utilities, Power Generation, Industrial Consumers</w:t>
      </w:r>
    </w:p>
    <w:p>
      <w:pPr>
        <w:pStyle w:val="ListBullet"/>
      </w:pPr>
      <w:r>
        <w:t>• Financial Institutions (Buy/Sell Side)</w:t>
      </w:r>
    </w:p>
    <w:p>
      <w:pPr>
        <w:pStyle w:val="ListBullet"/>
      </w:pPr>
      <w:r>
        <w:t>• LNG Liquefaction Project Developers</w:t>
      </w:r>
    </w:p>
    <w:p>
      <w:pPr>
        <w:pStyle w:val="ListBullet"/>
      </w:pPr>
      <w:r>
        <w:t>• LNG Regas Project Developers</w:t>
      </w:r>
    </w:p>
    <w:p>
      <w:pPr>
        <w:pStyle w:val="ListBullet"/>
      </w:pPr>
      <w:r>
        <w:t>• Transport/Logistics</w:t>
      </w:r>
    </w:p>
    <w:p>
      <w:pPr>
        <w:pStyle w:val="ListBullet"/>
      </w:pPr>
      <w:r>
        <w:t>• Government &amp; Regulatory Bodies</w:t>
      </w:r>
    </w:p>
    <w:p>
      <w:pPr>
        <w:pStyle w:val="Heading2"/>
      </w:pPr>
      <w:r>
        <w:t>2.2 Market Sizing Analysis</w:t>
      </w:r>
    </w:p>
    <w:p>
      <w:r>
        <w:t>LinkedIn search data reveals significant market opportunities:</w:t>
      </w:r>
    </w:p>
    <w:tbl>
      <w:tblPr>
        <w:tblStyle w:val="TableGrid"/>
        <w:tblW w:type="auto" w:w="0"/>
        <w:tblLook w:firstColumn="1" w:firstRow="1" w:lastColumn="0" w:lastRow="0" w:noHBand="0" w:noVBand="1" w:val="04A0"/>
      </w:tblPr>
      <w:tblGrid>
        <w:gridCol w:w="2880"/>
        <w:gridCol w:w="2880"/>
        <w:gridCol w:w="2880"/>
      </w:tblGrid>
      <w:tr>
        <w:tc>
          <w:tcPr>
            <w:tcW w:type="dxa" w:w="2880"/>
          </w:tcPr>
          <w:p>
            <w:r>
              <w:t>Market Segment</w:t>
            </w:r>
          </w:p>
        </w:tc>
        <w:tc>
          <w:tcPr>
            <w:tcW w:type="dxa" w:w="2880"/>
          </w:tcPr>
          <w:p>
            <w:r>
              <w:t>LinkedIn Hits</w:t>
            </w:r>
          </w:p>
        </w:tc>
        <w:tc>
          <w:tcPr>
            <w:tcW w:type="dxa" w:w="2880"/>
          </w:tcPr>
          <w:p>
            <w:r>
              <w:t>Strategic Importance</w:t>
            </w:r>
          </w:p>
        </w:tc>
      </w:tr>
      <w:tr>
        <w:tc>
          <w:tcPr>
            <w:tcW w:type="dxa" w:w="2880"/>
          </w:tcPr>
          <w:p>
            <w:r>
              <w:t>Gas Procurement</w:t>
            </w:r>
          </w:p>
        </w:tc>
        <w:tc>
          <w:tcPr>
            <w:tcW w:type="dxa" w:w="2880"/>
          </w:tcPr>
          <w:p>
            <w:r>
              <w:t>3,500 hits</w:t>
            </w:r>
          </w:p>
        </w:tc>
        <w:tc>
          <w:tcPr>
            <w:tcW w:type="dxa" w:w="2880"/>
          </w:tcPr>
          <w:p>
            <w:r>
              <w:t>Largest market opportunity</w:t>
            </w:r>
          </w:p>
        </w:tc>
      </w:tr>
      <w:tr>
        <w:tc>
          <w:tcPr>
            <w:tcW w:type="dxa" w:w="2880"/>
          </w:tcPr>
          <w:p>
            <w:r>
              <w:t>Gas Analysis</w:t>
            </w:r>
          </w:p>
        </w:tc>
        <w:tc>
          <w:tcPr>
            <w:tcW w:type="dxa" w:w="2880"/>
          </w:tcPr>
          <w:p>
            <w:r>
              <w:t>3,000 hits</w:t>
            </w:r>
          </w:p>
        </w:tc>
        <w:tc>
          <w:tcPr>
            <w:tcW w:type="dxa" w:w="2880"/>
          </w:tcPr>
          <w:p>
            <w:r>
              <w:t>Strong analytical market</w:t>
            </w:r>
          </w:p>
        </w:tc>
      </w:tr>
      <w:tr>
        <w:tc>
          <w:tcPr>
            <w:tcW w:type="dxa" w:w="2880"/>
          </w:tcPr>
          <w:p>
            <w:r>
              <w:t>Gas Trading</w:t>
            </w:r>
          </w:p>
        </w:tc>
        <w:tc>
          <w:tcPr>
            <w:tcW w:type="dxa" w:w="2880"/>
          </w:tcPr>
          <w:p>
            <w:r>
              <w:t>2,500 hits</w:t>
            </w:r>
          </w:p>
        </w:tc>
        <w:tc>
          <w:tcPr>
            <w:tcW w:type="dxa" w:w="2880"/>
          </w:tcPr>
          <w:p>
            <w:r>
              <w:t>Active trading community</w:t>
            </w:r>
          </w:p>
        </w:tc>
      </w:tr>
      <w:tr>
        <w:tc>
          <w:tcPr>
            <w:tcW w:type="dxa" w:w="2880"/>
          </w:tcPr>
          <w:p>
            <w:r>
              <w:t>LNG Procurement</w:t>
            </w:r>
          </w:p>
        </w:tc>
        <w:tc>
          <w:tcPr>
            <w:tcW w:type="dxa" w:w="2880"/>
          </w:tcPr>
          <w:p>
            <w:r>
              <w:t>886 hits</w:t>
            </w:r>
          </w:p>
        </w:tc>
        <w:tc>
          <w:tcPr>
            <w:tcW w:type="dxa" w:w="2880"/>
          </w:tcPr>
          <w:p>
            <w:r>
              <w:t>FGE's core market</w:t>
            </w:r>
          </w:p>
        </w:tc>
      </w:tr>
      <w:tr>
        <w:tc>
          <w:tcPr>
            <w:tcW w:type="dxa" w:w="2880"/>
          </w:tcPr>
          <w:p>
            <w:r>
              <w:t>LNG Trading</w:t>
            </w:r>
          </w:p>
        </w:tc>
        <w:tc>
          <w:tcPr>
            <w:tcW w:type="dxa" w:w="2880"/>
          </w:tcPr>
          <w:p>
            <w:r>
              <w:t>844 hits</w:t>
            </w:r>
          </w:p>
        </w:tc>
        <w:tc>
          <w:tcPr>
            <w:tcW w:type="dxa" w:w="2880"/>
          </w:tcPr>
          <w:p>
            <w:r>
              <w:t>Specialized trading segment</w:t>
            </w:r>
          </w:p>
        </w:tc>
      </w:tr>
      <w:tr>
        <w:tc>
          <w:tcPr>
            <w:tcW w:type="dxa" w:w="2880"/>
          </w:tcPr>
          <w:p>
            <w:r>
              <w:t>LNG Shipping</w:t>
            </w:r>
          </w:p>
        </w:tc>
        <w:tc>
          <w:tcPr>
            <w:tcW w:type="dxa" w:w="2880"/>
          </w:tcPr>
          <w:p>
            <w:r>
              <w:t>333 hits</w:t>
            </w:r>
          </w:p>
        </w:tc>
        <w:tc>
          <w:tcPr>
            <w:tcW w:type="dxa" w:w="2880"/>
          </w:tcPr>
          <w:p>
            <w:r>
              <w:t>Niche shipping market</w:t>
            </w:r>
          </w:p>
        </w:tc>
      </w:tr>
    </w:tbl>
    <w:p>
      <w:pPr>
        <w:pStyle w:val="Heading1"/>
      </w:pPr>
      <w:r>
        <w:t>3. Competitive Landscape Assessment</w:t>
      </w:r>
    </w:p>
    <w:p>
      <w:pPr>
        <w:pStyle w:val="Heading2"/>
      </w:pPr>
      <w:r>
        <w:t>3.1 Key Competitors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Competitor</w:t>
            </w:r>
          </w:p>
        </w:tc>
        <w:tc>
          <w:tcPr>
            <w:tcW w:type="dxa" w:w="1728"/>
          </w:tcPr>
          <w:p>
            <w:r>
              <w:t>Position</w:t>
            </w:r>
          </w:p>
        </w:tc>
        <w:tc>
          <w:tcPr>
            <w:tcW w:type="dxa" w:w="1728"/>
          </w:tcPr>
          <w:p>
            <w:r>
              <w:t>Services</w:t>
            </w:r>
          </w:p>
        </w:tc>
        <w:tc>
          <w:tcPr>
            <w:tcW w:type="dxa" w:w="1728"/>
          </w:tcPr>
          <w:p>
            <w:r>
              <w:t>Coverage</w:t>
            </w:r>
          </w:p>
        </w:tc>
        <w:tc>
          <w:tcPr>
            <w:tcW w:type="dxa" w:w="1728"/>
          </w:tcPr>
          <w:p>
            <w:r>
              <w:t>Specialization</w:t>
            </w:r>
          </w:p>
        </w:tc>
      </w:tr>
      <w:tr>
        <w:tc>
          <w:tcPr>
            <w:tcW w:type="dxa" w:w="1728"/>
          </w:tcPr>
          <w:p>
            <w:r>
              <w:t>Wood Mackenzie</w:t>
            </w:r>
          </w:p>
        </w:tc>
        <w:tc>
          <w:tcPr>
            <w:tcW w:type="dxa" w:w="1728"/>
          </w:tcPr>
          <w:p>
            <w:r>
              <w:t>Market Leader</w:t>
            </w:r>
          </w:p>
        </w:tc>
        <w:tc>
          <w:tcPr>
            <w:tcW w:type="dxa" w:w="1728"/>
          </w:tcPr>
          <w:p>
            <w:r>
              <w:t>15+ services</w:t>
            </w:r>
          </w:p>
        </w:tc>
        <w:tc>
          <w:tcPr>
            <w:tcW w:type="dxa" w:w="1728"/>
          </w:tcPr>
          <w:p>
            <w:r>
              <w:t>Global</w:t>
            </w:r>
          </w:p>
        </w:tc>
        <w:tc>
          <w:tcPr>
            <w:tcW w:type="dxa" w:w="1728"/>
          </w:tcPr>
          <w:p>
            <w:r>
              <w:t>Full energy sector coverage</w:t>
            </w:r>
          </w:p>
        </w:tc>
      </w:tr>
      <w:tr>
        <w:tc>
          <w:tcPr>
            <w:tcW w:type="dxa" w:w="1728"/>
          </w:tcPr>
          <w:p>
            <w:r>
              <w:t>Rystad Energy</w:t>
            </w:r>
          </w:p>
        </w:tc>
        <w:tc>
          <w:tcPr>
            <w:tcW w:type="dxa" w:w="1728"/>
          </w:tcPr>
          <w:p>
            <w:r>
              <w:t>Data-Driven Leader</w:t>
            </w:r>
          </w:p>
        </w:tc>
        <w:tc>
          <w:tcPr>
            <w:tcW w:type="dxa" w:w="1728"/>
          </w:tcPr>
          <w:p>
            <w:r>
              <w:t>12+ services</w:t>
            </w:r>
          </w:p>
        </w:tc>
        <w:tc>
          <w:tcPr>
            <w:tcW w:type="dxa" w:w="1728"/>
          </w:tcPr>
          <w:p>
            <w:r>
              <w:t>Global</w:t>
            </w:r>
          </w:p>
        </w:tc>
        <w:tc>
          <w:tcPr>
            <w:tcW w:type="dxa" w:w="1728"/>
          </w:tcPr>
          <w:p>
            <w:r>
              <w:t>Heavy analytics focus</w:t>
            </w:r>
          </w:p>
        </w:tc>
      </w:tr>
      <w:tr>
        <w:tc>
          <w:tcPr>
            <w:tcW w:type="dxa" w:w="1728"/>
          </w:tcPr>
          <w:p>
            <w:r>
              <w:t>Argus Media</w:t>
            </w:r>
          </w:p>
        </w:tc>
        <w:tc>
          <w:tcPr>
            <w:tcW w:type="dxa" w:w="1728"/>
          </w:tcPr>
          <w:p>
            <w:r>
              <w:t>Price Discovery Leader</w:t>
            </w:r>
          </w:p>
        </w:tc>
        <w:tc>
          <w:tcPr>
            <w:tcW w:type="dxa" w:w="1728"/>
          </w:tcPr>
          <w:p>
            <w:r>
              <w:t>8+ services</w:t>
            </w:r>
          </w:p>
        </w:tc>
        <w:tc>
          <w:tcPr>
            <w:tcW w:type="dxa" w:w="1728"/>
          </w:tcPr>
          <w:p>
            <w:r>
              <w:t>Global</w:t>
            </w:r>
          </w:p>
        </w:tc>
        <w:tc>
          <w:tcPr>
            <w:tcW w:type="dxa" w:w="1728"/>
          </w:tcPr>
          <w:p>
            <w:r>
              <w:t>Commodity price assessments</w:t>
            </w:r>
          </w:p>
        </w:tc>
      </w:tr>
      <w:tr>
        <w:tc>
          <w:tcPr>
            <w:tcW w:type="dxa" w:w="1728"/>
          </w:tcPr>
          <w:p>
            <w:r>
              <w:t>IHS Markit</w:t>
            </w:r>
          </w:p>
        </w:tc>
        <w:tc>
          <w:tcPr>
            <w:tcW w:type="dxa" w:w="1728"/>
          </w:tcPr>
          <w:p>
            <w:r>
              <w:t>Conglomerate</w:t>
            </w:r>
          </w:p>
        </w:tc>
        <w:tc>
          <w:tcPr>
            <w:tcW w:type="dxa" w:w="1728"/>
          </w:tcPr>
          <w:p>
            <w:r>
              <w:t>20+ services</w:t>
            </w:r>
          </w:p>
        </w:tc>
        <w:tc>
          <w:tcPr>
            <w:tcW w:type="dxa" w:w="1728"/>
          </w:tcPr>
          <w:p>
            <w:r>
              <w:t>Global</w:t>
            </w:r>
          </w:p>
        </w:tc>
        <w:tc>
          <w:tcPr>
            <w:tcW w:type="dxa" w:w="1728"/>
          </w:tcPr>
          <w:p>
            <w:r>
              <w:t>Multi-industry solutions</w:t>
            </w:r>
          </w:p>
        </w:tc>
      </w:tr>
    </w:tbl>
    <w:p>
      <w:pPr>
        <w:pStyle w:val="Heading2"/>
      </w:pPr>
      <w:r>
        <w:t>3.2 FGE Competitive Advantages</w:t>
      </w:r>
    </w:p>
    <w:p>
      <w:r>
        <w:t>FGE's unique positioning includes:</w:t>
      </w:r>
    </w:p>
    <w:p>
      <w:r>
        <w:t>• Specialized LNG/Gas focus vs. broad energy coverage</w:t>
      </w:r>
    </w:p>
    <w:p>
      <w:r>
        <w:t>• East of Suez expertise and regional specialization</w:t>
      </w:r>
    </w:p>
    <w:p>
      <w:r>
        <w:t>• Commercial intelligence specialization</w:t>
      </w:r>
    </w:p>
    <w:p>
      <w:r>
        <w:t>• China market strength (High "Meets Needs" rating)</w:t>
      </w:r>
    </w:p>
    <w:p>
      <w:r>
        <w:t>• Targeted service portfolio vs. enterprise-wide solutions</w:t>
      </w:r>
    </w:p>
    <w:p>
      <w:pPr>
        <w:pStyle w:val="Heading2"/>
      </w:pPr>
      <w:r>
        <w:t>3.3 Competitive Challenges</w:t>
      </w:r>
    </w:p>
    <w:p>
      <w:r>
        <w:t>Areas requiring attention:</w:t>
      </w:r>
    </w:p>
    <w:p>
      <w:r>
        <w:t>• Smaller service portfolio (9 vs. 12-20 for competitors)</w:t>
      </w:r>
    </w:p>
    <w:p>
      <w:r>
        <w:t>• Limited geographic reach (East of Suez vs. Global)</w:t>
      </w:r>
    </w:p>
    <w:p>
      <w:r>
        <w:t>• Less data analytics capabilities</w:t>
      </w:r>
    </w:p>
    <w:p>
      <w:r>
        <w:t>• Smaller enterprise client base</w:t>
      </w:r>
    </w:p>
    <w:p>
      <w:r>
        <w:t>• MENAGAS service shows low market appeal</w:t>
      </w:r>
    </w:p>
    <w:p>
      <w:pPr>
        <w:pStyle w:val="Heading1"/>
      </w:pPr>
      <w:r>
        <w:t>4. Nexant WGM Integration Impact</w:t>
      </w:r>
    </w:p>
    <w:p>
      <w:pPr>
        <w:pStyle w:val="Heading2"/>
      </w:pPr>
      <w:r>
        <w:t>4.1 Capabilities Gained</w:t>
      </w:r>
    </w:p>
    <w:p>
      <w:r>
        <w:t>The acquisition of Nexant's World Gas Model represents a game-changing enhancement to FGE's competitive position:</w:t>
      </w:r>
    </w:p>
    <w:tbl>
      <w:tblPr>
        <w:tblStyle w:val="TableGrid"/>
        <w:tblW w:type="auto" w:w="0"/>
        <w:tblLook w:firstColumn="1" w:firstRow="1" w:lastColumn="0" w:lastRow="0" w:noHBand="0" w:noVBand="1" w:val="04A0"/>
      </w:tblPr>
      <w:tblGrid>
        <w:gridCol w:w="4320"/>
        <w:gridCol w:w="4320"/>
      </w:tblGrid>
      <w:tr>
        <w:tc>
          <w:tcPr>
            <w:tcW w:type="dxa" w:w="4320"/>
          </w:tcPr>
          <w:p>
            <w:r>
              <w:t>Capability</w:t>
            </w:r>
          </w:p>
        </w:tc>
        <w:tc>
          <w:tcPr>
            <w:tcW w:type="dxa" w:w="4320"/>
          </w:tcPr>
          <w:p>
            <w:r>
              <w:t>Specification</w:t>
            </w:r>
          </w:p>
        </w:tc>
      </w:tr>
      <w:tr>
        <w:tc>
          <w:tcPr>
            <w:tcW w:type="dxa" w:w="4320"/>
          </w:tcPr>
          <w:p>
            <w:r>
              <w:t>Geographic Coverage</w:t>
            </w:r>
          </w:p>
        </w:tc>
        <w:tc>
          <w:tcPr>
            <w:tcW w:type="dxa" w:w="4320"/>
          </w:tcPr>
          <w:p>
            <w:r>
              <w:t>140 countries (vs. East of Suez focus)</w:t>
            </w:r>
          </w:p>
        </w:tc>
      </w:tr>
      <w:tr>
        <w:tc>
          <w:tcPr>
            <w:tcW w:type="dxa" w:w="4320"/>
          </w:tcPr>
          <w:p>
            <w:r>
              <w:t>Supply Entities</w:t>
            </w:r>
          </w:p>
        </w:tc>
        <w:tc>
          <w:tcPr>
            <w:tcW w:type="dxa" w:w="4320"/>
          </w:tcPr>
          <w:p>
            <w:r>
              <w:t>566 tracked entities</w:t>
            </w:r>
          </w:p>
        </w:tc>
      </w:tr>
      <w:tr>
        <w:tc>
          <w:tcPr>
            <w:tcW w:type="dxa" w:w="4320"/>
          </w:tcPr>
          <w:p>
            <w:r>
              <w:t>Infrastructure</w:t>
            </w:r>
          </w:p>
        </w:tc>
        <w:tc>
          <w:tcPr>
            <w:tcW w:type="dxa" w:w="4320"/>
          </w:tcPr>
          <w:p>
            <w:r>
              <w:t>928 projects (359 liquefaction + 569 regasification)</w:t>
            </w:r>
          </w:p>
        </w:tc>
      </w:tr>
      <w:tr>
        <w:tc>
          <w:tcPr>
            <w:tcW w:type="dxa" w:w="4320"/>
          </w:tcPr>
          <w:p>
            <w:r>
              <w:t>Shipping Routes</w:t>
            </w:r>
          </w:p>
        </w:tc>
        <w:tc>
          <w:tcPr>
            <w:tcW w:type="dxa" w:w="4320"/>
          </w:tcPr>
          <w:p>
            <w:r>
              <w:t>3,857 analyzed routes</w:t>
            </w:r>
          </w:p>
        </w:tc>
      </w:tr>
      <w:tr>
        <w:tc>
          <w:tcPr>
            <w:tcW w:type="dxa" w:w="4320"/>
          </w:tcPr>
          <w:p>
            <w:r>
              <w:t>Contracts</w:t>
            </w:r>
          </w:p>
        </w:tc>
        <w:tc>
          <w:tcPr>
            <w:tcW w:type="dxa" w:w="4320"/>
          </w:tcPr>
          <w:p>
            <w:r>
              <w:t>1,311 monitored contracts</w:t>
            </w:r>
          </w:p>
        </w:tc>
      </w:tr>
      <w:tr>
        <w:tc>
          <w:tcPr>
            <w:tcW w:type="dxa" w:w="4320"/>
          </w:tcPr>
          <w:p>
            <w:r>
              <w:t>Forecasting</w:t>
            </w:r>
          </w:p>
        </w:tc>
        <w:tc>
          <w:tcPr>
            <w:tcW w:type="dxa" w:w="4320"/>
          </w:tcPr>
          <w:p>
            <w:r>
              <w:t>Long-term horizon to 2050</w:t>
            </w:r>
          </w:p>
        </w:tc>
      </w:tr>
      <w:tr>
        <w:tc>
          <w:tcPr>
            <w:tcW w:type="dxa" w:w="4320"/>
          </w:tcPr>
          <w:p>
            <w:r>
              <w:t>Interface</w:t>
            </w:r>
          </w:p>
        </w:tc>
        <w:tc>
          <w:tcPr>
            <w:tcW w:type="dxa" w:w="4320"/>
          </w:tcPr>
          <w:p>
            <w:r>
              <w:t>Excel-based (familiar to clients)</w:t>
            </w:r>
          </w:p>
        </w:tc>
      </w:tr>
    </w:tbl>
    <w:p>
      <w:pPr>
        <w:pStyle w:val="Heading2"/>
      </w:pPr>
      <w:r>
        <w:t>4.2 Transformation Impact</w:t>
      </w:r>
    </w:p>
    <w:p>
      <w:r>
        <w:t>FGE's competitive position transformation:</w:t>
      </w:r>
    </w:p>
    <w:p>
      <w:pPr>
        <w:pStyle w:val="ListBullet"/>
      </w:pPr>
      <w:r>
        <w:t>• Coverage: East of Suez → Global (140 countries)</w:t>
      </w:r>
    </w:p>
    <w:p>
      <w:pPr>
        <w:pStyle w:val="ListBullet"/>
      </w:pPr>
      <w:r>
        <w:t>• Modeling: Qualitative → Quantitative + Qualitative</w:t>
      </w:r>
    </w:p>
    <w:p>
      <w:pPr>
        <w:pStyle w:val="ListBullet"/>
      </w:pPr>
      <w:r>
        <w:t>• Forecasting: Short-Medium Term → Long-term (2050)</w:t>
      </w:r>
    </w:p>
    <w:p>
      <w:pPr>
        <w:pStyle w:val="ListBullet"/>
      </w:pPr>
      <w:r>
        <w:t>• Infrastructure: None → 928 projects tracked</w:t>
      </w:r>
    </w:p>
    <w:p>
      <w:pPr>
        <w:pStyle w:val="ListBullet"/>
      </w:pPr>
      <w:r>
        <w:t>• Positioning: Specialist → Specialist + Modeler</w:t>
      </w:r>
    </w:p>
    <w:p>
      <w:pPr>
        <w:pStyle w:val="ListBullet"/>
      </w:pPr>
      <w:r>
        <w:t>• Value Proposition: Qualitative → Quantitative + Qualitative</w:t>
      </w:r>
    </w:p>
    <w:p>
      <w:pPr>
        <w:pStyle w:val="Heading2"/>
      </w:pPr>
      <w:r>
        <w:t>4.3 Unique Market Position</w:t>
      </w:r>
    </w:p>
    <w:p>
      <w:r>
        <w:t>FGE is now the ONLY provider offering the combination of:</w:t>
      </w:r>
    </w:p>
    <w:p>
      <w:r>
        <w:t>• Specialized LNG expertise + Global modeling capability</w:t>
      </w:r>
    </w:p>
    <w:p>
      <w:r>
        <w:t>• Commercial intelligence + Quantitative analysis</w:t>
      </w:r>
    </w:p>
    <w:p>
      <w:r>
        <w:t>• Regional knowledge + Global coverage</w:t>
      </w:r>
    </w:p>
    <w:p>
      <w:r>
        <w:t>• User-friendly interface + Advanced modeling</w:t>
      </w:r>
    </w:p>
    <w:p>
      <w:pPr>
        <w:pStyle w:val="Heading1"/>
      </w:pPr>
      <w:r>
        <w:t>5. Strategic Recommendations</w:t>
      </w:r>
    </w:p>
    <w:p>
      <w:pPr>
        <w:pStyle w:val="Heading2"/>
      </w:pPr>
      <w:r>
        <w:t>5.1 Immediate Actions</w:t>
      </w:r>
    </w:p>
    <w:p>
      <w:r>
        <w:t>Priority recommendations for the next 6 months:</w:t>
      </w:r>
    </w:p>
    <w:p>
      <w:r>
        <w:t>1. POSITIONING: "Global LNG Intelligence + Quantitative Modeling"</w:t>
      </w:r>
    </w:p>
    <w:p>
      <w:r>
        <w:t>2. SERVICE ENHANCEMENT: Integrate WGM insights into all services</w:t>
      </w:r>
    </w:p>
    <w:p>
      <w:r>
        <w:t>3. MARKET EXPANSION: Leverage global coverage for new clients</w:t>
      </w:r>
    </w:p>
    <w:p>
      <w:r>
        <w:t>4. PRICING STRATEGY: Premium pricing justified by modeling capability</w:t>
      </w:r>
    </w:p>
    <w:p>
      <w:r>
        <w:t>5. PRODUCT DEVELOPMENT: Create WGM-powered service packages</w:t>
      </w:r>
    </w:p>
    <w:p>
      <w:pPr>
        <w:pStyle w:val="Heading2"/>
      </w:pPr>
      <w:r>
        <w:t>5.2 Service Portfolio Optimization</w:t>
      </w:r>
    </w:p>
    <w:p>
      <w:r>
        <w:t>Service-specific recommendations:</w:t>
      </w:r>
    </w:p>
    <w:p>
      <w:r>
        <w:t>• DISCONTINUE: MENAGAS (low market appeal)</w:t>
      </w:r>
    </w:p>
    <w:p>
      <w:r>
        <w:t>• ENHANCE: China service (leverage high performance)</w:t>
      </w:r>
    </w:p>
    <w:p>
      <w:r>
        <w:t>• DEVELOP: New WGM-powered service packages</w:t>
      </w:r>
    </w:p>
    <w:p>
      <w:r>
        <w:t>• INTEGRATE: WGM insights across all services</w:t>
      </w:r>
    </w:p>
    <w:p>
      <w:pPr>
        <w:pStyle w:val="Heading2"/>
      </w:pPr>
      <w:r>
        <w:t>5.3 Market Development Strategy</w:t>
      </w:r>
    </w:p>
    <w:p>
      <w:r>
        <w:t>Market expansion priorities:</w:t>
      </w:r>
    </w:p>
    <w:p>
      <w:r>
        <w:t>• Focus on Gas Procurement market (3,500 LinkedIn hits)</w:t>
      </w:r>
    </w:p>
    <w:p>
      <w:r>
        <w:t>• Leverage China market success for Asia-Pacific expansion</w:t>
      </w:r>
    </w:p>
    <w:p>
      <w:r>
        <w:t>• Target mid-market clients vs. enterprise competitors</w:t>
      </w:r>
    </w:p>
    <w:p>
      <w:r>
        <w:t>• Emphasize commercial intelligence + modeling combination</w:t>
      </w:r>
    </w:p>
    <w:p>
      <w:pPr>
        <w:pStyle w:val="Heading1"/>
      </w:pPr>
      <w:r>
        <w:t>6. Market Opportunities</w:t>
      </w:r>
    </w:p>
    <w:p>
      <w:pPr>
        <w:pStyle w:val="Heading2"/>
      </w:pPr>
      <w:r>
        <w:t>6.1 High-Potential Segments</w:t>
      </w:r>
    </w:p>
    <w:p>
      <w:r>
        <w:t>Identified opportunities based on analysis:</w:t>
      </w:r>
    </w:p>
    <w:p>
      <w:r>
        <w:t>• Gas Procurement: Largest LinkedIn audience (3,500 hits)</w:t>
      </w:r>
    </w:p>
    <w:p>
      <w:r>
        <w:t>• LNG Origination: Consistently high ratings across services</w:t>
      </w:r>
    </w:p>
    <w:p>
      <w:r>
        <w:t>• China Market: High "Meets Needs" rating</w:t>
      </w:r>
    </w:p>
    <w:p>
      <w:r>
        <w:t>• Short-term Trading: Medium-high appeal</w:t>
      </w:r>
    </w:p>
    <w:p>
      <w:pPr>
        <w:pStyle w:val="Heading2"/>
      </w:pPr>
      <w:r>
        <w:t>6.2 Geographic Expansion</w:t>
      </w:r>
    </w:p>
    <w:p>
      <w:r>
        <w:t>Expansion opportunities:</w:t>
      </w:r>
    </w:p>
    <w:p>
      <w:r>
        <w:t>• Asia-Pacific: Leverage China success</w:t>
      </w:r>
    </w:p>
    <w:p>
      <w:r>
        <w:t>• Europe: Gas market intelligence</w:t>
      </w:r>
    </w:p>
    <w:p>
      <w:r>
        <w:t>• Americas: LNG trading intelligence</w:t>
      </w:r>
    </w:p>
    <w:p>
      <w:r>
        <w:t>• Global: WGM-enabled coverage</w:t>
      </w:r>
    </w:p>
    <w:p>
      <w:pPr>
        <w:pStyle w:val="Heading1"/>
      </w:pPr>
      <w:r>
        <w:t>7. Risk Assessment</w:t>
      </w:r>
    </w:p>
    <w:p>
      <w:pPr>
        <w:pStyle w:val="Heading2"/>
      </w:pPr>
      <w:r>
        <w:t>7.1 Competitive Risks</w:t>
      </w:r>
    </w:p>
    <w:p>
      <w:r>
        <w:t>Potential threats:</w:t>
      </w:r>
    </w:p>
    <w:p>
      <w:r>
        <w:t>• Larger competitors expanding LNG focus</w:t>
      </w:r>
    </w:p>
    <w:p>
      <w:r>
        <w:t>• New entrants with similar capabilities</w:t>
      </w:r>
    </w:p>
    <w:p>
      <w:r>
        <w:t>• Technology disruption in market intelligence</w:t>
      </w:r>
    </w:p>
    <w:p>
      <w:r>
        <w:t>• Economic downturn affecting subscription services</w:t>
      </w:r>
    </w:p>
    <w:p>
      <w:pPr>
        <w:pStyle w:val="Heading2"/>
      </w:pPr>
      <w:r>
        <w:t>7.2 Mitigation Strategies</w:t>
      </w:r>
    </w:p>
    <w:p>
      <w:r>
        <w:t>Risk mitigation approaches:</w:t>
      </w:r>
    </w:p>
    <w:p>
      <w:r>
        <w:t>• Maintain specialized LNG focus</w:t>
      </w:r>
    </w:p>
    <w:p>
      <w:r>
        <w:t>• Continuous service innovation</w:t>
      </w:r>
    </w:p>
    <w:p>
      <w:r>
        <w:t>• Strong client relationships</w:t>
      </w:r>
    </w:p>
    <w:p>
      <w:r>
        <w:t>• Diversified service portfolio</w:t>
      </w:r>
    </w:p>
    <w:p>
      <w:pPr>
        <w:pStyle w:val="Heading1"/>
      </w:pPr>
      <w:r>
        <w:t>8. Implementation Roadmap</w:t>
      </w:r>
    </w:p>
    <w:p>
      <w:pPr>
        <w:pStyle w:val="Heading2"/>
      </w:pPr>
      <w:r>
        <w:t>8.1 Phase 1: Foundation (Months 1-3)</w:t>
      </w:r>
    </w:p>
    <w:p>
      <w:r>
        <w:t>• Integrate WGM into existing services</w:t>
      </w:r>
    </w:p>
    <w:p>
      <w:r>
        <w:t>• Develop new positioning strategy</w:t>
      </w:r>
    </w:p>
    <w:p>
      <w:r>
        <w:t>• Enhance China service offering</w:t>
      </w:r>
    </w:p>
    <w:p>
      <w:r>
        <w:t>• Discontinue MENAGAS service</w:t>
      </w:r>
    </w:p>
    <w:p>
      <w:pPr>
        <w:pStyle w:val="Heading2"/>
      </w:pPr>
      <w:r>
        <w:t>8.2 Phase 2: Expansion (Months 4-6)</w:t>
      </w:r>
    </w:p>
    <w:p>
      <w:r>
        <w:t>• Launch WGM-powered service packages</w:t>
      </w:r>
    </w:p>
    <w:p>
      <w:r>
        <w:t>• Expand Asia-Pacific market presence</w:t>
      </w:r>
    </w:p>
    <w:p>
      <w:r>
        <w:t>• Develop gas procurement market strategy</w:t>
      </w:r>
    </w:p>
    <w:p>
      <w:r>
        <w:t>• Implement premium pricing model</w:t>
      </w:r>
    </w:p>
    <w:p>
      <w:pPr>
        <w:pStyle w:val="Heading2"/>
      </w:pPr>
      <w:r>
        <w:t>8.3 Phase 3: Optimization (Months 7-12)</w:t>
      </w:r>
    </w:p>
    <w:p>
      <w:r>
        <w:t>• Refine service offerings based on feedback</w:t>
      </w:r>
    </w:p>
    <w:p>
      <w:r>
        <w:t>• Expand geographic coverage</w:t>
      </w:r>
    </w:p>
    <w:p>
      <w:r>
        <w:t>• Develop new market segments</w:t>
      </w:r>
    </w:p>
    <w:p>
      <w:r>
        <w:t>• Evaluate additional acquisitions</w:t>
      </w:r>
    </w:p>
    <w:p>
      <w:pPr>
        <w:pStyle w:val="Heading1"/>
      </w:pPr>
      <w:r>
        <w:t>Conclusion</w:t>
      </w:r>
    </w:p>
    <w:p>
      <w:r>
        <w:t>The analysis reveals FGE's transformation from a regional LNG specialist to a global market intelligence leader. The Nexant WGM integration provides unique competitive advantages that position FGE as the only provider combining specialized LNG expertise with quantitative global modeling capabilities.</w:t>
      </w:r>
    </w:p>
    <w:p>
      <w:r>
        <w:t>Key success factors include leveraging the China market strength, focusing on gas procurement opportunities, and maintaining the specialized LNG focus while expanding geographic reach. The recommended implementation roadmap provides a clear path forward for maximizing the competitive advantages gained through the WGM integration.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