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bookmarkStart w:id="0" w:name="_GoBack"/>
      <w:bookmarkEnd w:id="0"/>
      <w:r>
        <w:rPr/>
        <w:tab/>
        <w:t xml:space="preserve">Используя язык </w:t>
      </w:r>
      <w:r>
        <w:rPr>
          <w:lang w:val="en-US"/>
        </w:rPr>
        <w:t>Java</w:t>
      </w:r>
      <w:r>
        <w:rPr/>
        <w:t xml:space="preserve"> необходимо написать метод объединения имеющихся цен с вновь импортированными из внешней системы. Также необходимо написать </w:t>
      </w:r>
      <w:r>
        <w:rPr>
          <w:lang w:val="en-US"/>
        </w:rPr>
        <w:t>unit</w:t>
      </w:r>
      <w:r>
        <w:rPr/>
        <w:t xml:space="preserve"> тесты, для проверки хотя бы некоторых возможных вариантов.</w:t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  <w:tab/>
        <w:t xml:space="preserve">Каждый продаваемый товар, имеет свою цену. Цен у товара может быть несколько, каждая цена имеет свой номер, принадлежность к отделу, период действия и значение в валюте. </w:t>
      </w:r>
    </w:p>
    <w:p>
      <w:pPr>
        <w:pStyle w:val="style0"/>
        <w:jc w:val="both"/>
      </w:pPr>
      <w:r>
        <w:rPr/>
        <w:tab/>
        <w:t xml:space="preserve">В базе данных для каждого товара хранится история цен. В один момент времени может действовать только одна цена из цен, </w:t>
      </w:r>
      <w:r>
        <w:rPr>
          <w:u w:val="single"/>
        </w:rPr>
        <w:t>с одинаковым номером и отделом</w:t>
      </w:r>
      <w:r>
        <w:rPr/>
        <w:t>. Обычно товар продается по первой цене, вторая, третья и четвертая могут используются для применения скидок (т.е. сработало условие скидки, товар будет продан по цене номер 2). Касса может обслуживать какой-то отдел, тогда она будет использовать при продаже цены указанные для этого отдела.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ab/>
        <w:t>Правила объединения цен:</w:t>
      </w:r>
    </w:p>
    <w:p>
      <w:pPr>
        <w:pStyle w:val="style0"/>
        <w:numPr>
          <w:ilvl w:val="0"/>
          <w:numId w:val="1"/>
        </w:numPr>
        <w:jc w:val="both"/>
      </w:pPr>
      <w:r>
        <w:rPr/>
        <w:t>если товар еще не имеет цен, или имеющиеся цены не пересекаются в периодах действия с новыми, то новые цены просто добавляются к товару;</w:t>
      </w:r>
    </w:p>
    <w:p>
      <w:pPr>
        <w:pStyle w:val="style0"/>
        <w:numPr>
          <w:ilvl w:val="0"/>
          <w:numId w:val="1"/>
        </w:numPr>
        <w:jc w:val="both"/>
      </w:pPr>
      <w:r>
        <w:rPr/>
        <w:t>если имеющаяся цена пересекается в периоде действия с новой ценой, то:</w:t>
      </w:r>
    </w:p>
    <w:p>
      <w:pPr>
        <w:pStyle w:val="style0"/>
        <w:numPr>
          <w:ilvl w:val="0"/>
          <w:numId w:val="2"/>
        </w:numPr>
        <w:jc w:val="both"/>
      </w:pPr>
      <w:r>
        <w:rPr/>
        <w:t>если значения цен одинаковы, период действия имеющейся цены увеличивается согласно периоду новой цены;</w:t>
      </w:r>
    </w:p>
    <w:p>
      <w:pPr>
        <w:pStyle w:val="style0"/>
        <w:numPr>
          <w:ilvl w:val="0"/>
          <w:numId w:val="2"/>
        </w:numPr>
        <w:jc w:val="both"/>
      </w:pPr>
      <w:r>
        <w:rPr/>
        <w:t>если значения цен отличаются, добавляется новая цена, а период действия старой цены уменьшается согласно периоду новой цены.</w:t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  <w:tab/>
        <w:t xml:space="preserve">Метод в качестве параметров получает коллекцию имеющихся цен, новых цен и должен вернуть коллекцию объединенных цен, для дальнейшего сохранения в БД.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ab/>
      </w:r>
      <w:r>
        <w:rPr>
          <w:u w:val="single"/>
        </w:rPr>
        <w:t>Пример полей класса «цена»:</w:t>
      </w:r>
    </w:p>
    <w:p>
      <w:pPr>
        <w:pStyle w:val="style0"/>
        <w:jc w:val="both"/>
      </w:pPr>
      <w:r>
        <w:rPr/>
        <w:tab/>
      </w:r>
      <w:r>
        <w:rPr>
          <w:lang w:val="en-US"/>
        </w:rPr>
        <w:t>long</w:t>
      </w:r>
      <w:r>
        <w:rPr/>
        <w:t xml:space="preserve"> </w:t>
      </w:r>
      <w:r>
        <w:rPr>
          <w:lang w:val="en-US"/>
        </w:rPr>
        <w:t>id</w:t>
      </w:r>
      <w:r>
        <w:rPr/>
        <w:t>; // идентификатор в БД</w:t>
      </w:r>
    </w:p>
    <w:p>
      <w:pPr>
        <w:pStyle w:val="style0"/>
        <w:jc w:val="both"/>
      </w:pPr>
      <w:r>
        <w:rPr/>
        <w:tab/>
      </w:r>
      <w:r>
        <w:rPr>
          <w:lang w:val="en-US"/>
        </w:rPr>
        <w:t xml:space="preserve">String product_code; // </w:t>
      </w:r>
      <w:r>
        <w:rPr/>
        <w:t>код</w:t>
      </w:r>
      <w:r>
        <w:rPr>
          <w:lang w:val="en-US"/>
        </w:rPr>
        <w:t xml:space="preserve"> </w:t>
      </w:r>
      <w:r>
        <w:rPr/>
        <w:t>товара</w:t>
      </w:r>
    </w:p>
    <w:p>
      <w:pPr>
        <w:pStyle w:val="style0"/>
        <w:jc w:val="both"/>
      </w:pPr>
      <w:r>
        <w:rPr>
          <w:lang w:val="en-US"/>
        </w:rPr>
        <w:tab/>
        <w:t xml:space="preserve">int number; // </w:t>
      </w:r>
      <w:r>
        <w:rPr/>
        <w:t>номер</w:t>
      </w:r>
      <w:r>
        <w:rPr>
          <w:lang w:val="en-US"/>
        </w:rPr>
        <w:t xml:space="preserve"> </w:t>
      </w:r>
      <w:r>
        <w:rPr/>
        <w:t>цены</w:t>
      </w:r>
    </w:p>
    <w:p>
      <w:pPr>
        <w:pStyle w:val="style0"/>
        <w:jc w:val="both"/>
      </w:pPr>
      <w:r>
        <w:rPr>
          <w:lang w:val="en-US"/>
        </w:rPr>
        <w:tab/>
        <w:t>int</w:t>
      </w:r>
      <w:r>
        <w:rPr/>
        <w:t xml:space="preserve"> </w:t>
      </w:r>
      <w:r>
        <w:rPr>
          <w:lang w:val="en-US"/>
        </w:rPr>
        <w:t>depart</w:t>
      </w:r>
      <w:r>
        <w:rPr/>
        <w:t>; // номер отдела</w:t>
      </w:r>
    </w:p>
    <w:p>
      <w:pPr>
        <w:pStyle w:val="style0"/>
        <w:jc w:val="both"/>
      </w:pPr>
      <w:r>
        <w:rPr/>
        <w:tab/>
      </w:r>
      <w:r>
        <w:rPr>
          <w:lang w:val="en-US"/>
        </w:rPr>
        <w:t>Date</w:t>
      </w:r>
      <w:r>
        <w:rPr/>
        <w:t xml:space="preserve"> </w:t>
      </w:r>
      <w:r>
        <w:rPr>
          <w:lang w:val="en-US"/>
        </w:rPr>
        <w:t>begin</w:t>
      </w:r>
      <w:r>
        <w:rPr/>
        <w:t>; // начало действия</w:t>
      </w:r>
    </w:p>
    <w:p>
      <w:pPr>
        <w:pStyle w:val="style0"/>
        <w:jc w:val="both"/>
      </w:pPr>
      <w:r>
        <w:rPr/>
        <w:tab/>
      </w:r>
      <w:r>
        <w:rPr>
          <w:lang w:val="en-US"/>
        </w:rPr>
        <w:t>Date</w:t>
      </w:r>
      <w:r>
        <w:rPr/>
        <w:t xml:space="preserve"> </w:t>
      </w:r>
      <w:r>
        <w:rPr>
          <w:lang w:val="en-US"/>
        </w:rPr>
        <w:t>end</w:t>
      </w:r>
      <w:r>
        <w:rPr/>
        <w:t>; // конец действия</w:t>
      </w:r>
    </w:p>
    <w:p>
      <w:pPr>
        <w:pStyle w:val="style0"/>
        <w:jc w:val="both"/>
      </w:pPr>
      <w:r>
        <w:rPr/>
        <w:tab/>
      </w:r>
      <w:r>
        <w:rPr>
          <w:lang w:val="en-US"/>
        </w:rPr>
        <w:t>long</w:t>
      </w:r>
      <w:r>
        <w:rPr/>
        <w:t xml:space="preserve"> </w:t>
      </w:r>
      <w:r>
        <w:rPr>
          <w:lang w:val="en-US"/>
        </w:rPr>
        <w:t>value</w:t>
      </w:r>
      <w:r>
        <w:rPr/>
        <w:t>; // значение цены в копейках</w:t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>
          <w:rFonts w:ascii="Arial" w:hAnsi="Arial"/>
          <w:sz w:val="18"/>
          <w:szCs w:val="18"/>
          <w:u w:val="single"/>
        </w:rPr>
        <w:t>Примеры объединений:</w:t>
      </w:r>
    </w:p>
    <w:p>
      <w:pPr>
        <w:pStyle w:val="style0"/>
        <w:jc w:val="both"/>
      </w:pPr>
      <w:r>
        <w:rPr>
          <w:rFonts w:ascii="Arial" w:hAnsi="Arial"/>
          <w:sz w:val="18"/>
          <w:szCs w:val="18"/>
        </w:rPr>
        <w:t>1.</w:t>
      </w:r>
    </w:p>
    <w:p>
      <w:pPr>
        <w:pStyle w:val="style0"/>
        <w:jc w:val="both"/>
      </w:pPr>
      <w:r>
        <w:rPr>
          <w:rFonts w:ascii="Arial" w:hAnsi="Arial"/>
          <w:sz w:val="18"/>
          <w:szCs w:val="18"/>
        </w:rPr>
        <w:t>Имеющиеся цены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05"/>
        <w:gridCol w:w="1128"/>
        <w:gridCol w:w="1418"/>
        <w:gridCol w:w="2272"/>
        <w:gridCol w:w="2205"/>
        <w:gridCol w:w="1006"/>
      </w:tblGrid>
      <w:tr>
        <w:trPr>
          <w:cantSplit w:val="false"/>
        </w:trPr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center"/>
            </w:pPr>
            <w:r>
              <w:rPr>
                <w:rFonts w:ascii="Arial" w:hAnsi="Arial"/>
                <w:sz w:val="18"/>
                <w:szCs w:val="18"/>
                <w:lang w:val="en-US"/>
              </w:rPr>
              <w:t>Product_code</w:t>
            </w:r>
          </w:p>
        </w:tc>
        <w:tc>
          <w:tcPr>
            <w:tcW w:type="dxa" w:w="112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center"/>
            </w:pPr>
            <w:r>
              <w:rPr>
                <w:rFonts w:ascii="Arial" w:hAnsi="Arial"/>
                <w:sz w:val="18"/>
                <w:szCs w:val="18"/>
                <w:lang w:val="en-US"/>
              </w:rPr>
              <w:t>Number</w:t>
            </w:r>
          </w:p>
        </w:tc>
        <w:tc>
          <w:tcPr>
            <w:tcW w:type="dxa" w:w="141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rFonts w:ascii="Arial" w:hAnsi="Arial"/>
                <w:sz w:val="18"/>
                <w:szCs w:val="18"/>
                <w:lang w:val="en-US"/>
              </w:rPr>
              <w:t>Depart</w:t>
            </w:r>
          </w:p>
        </w:tc>
        <w:tc>
          <w:tcPr>
            <w:tcW w:type="dxa" w:w="227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rFonts w:ascii="Arial" w:hAnsi="Arial"/>
                <w:sz w:val="18"/>
                <w:szCs w:val="18"/>
                <w:lang w:val="en-US"/>
              </w:rPr>
              <w:t>Begin</w:t>
            </w:r>
          </w:p>
        </w:tc>
        <w:tc>
          <w:tcPr>
            <w:tcW w:type="dxa" w:w="22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rFonts w:ascii="Arial" w:hAnsi="Arial"/>
                <w:sz w:val="18"/>
                <w:szCs w:val="18"/>
                <w:lang w:val="en-US"/>
              </w:rPr>
              <w:t>End</w:t>
            </w:r>
          </w:p>
        </w:tc>
        <w:tc>
          <w:tcPr>
            <w:tcW w:type="dxa" w:w="10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rFonts w:ascii="Arial" w:hAnsi="Arial"/>
                <w:sz w:val="18"/>
                <w:szCs w:val="18"/>
                <w:lang w:val="en-US"/>
              </w:rPr>
              <w:t>value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122856</w:t>
            </w:r>
          </w:p>
        </w:tc>
        <w:tc>
          <w:tcPr>
            <w:tcW w:type="dxa" w:w="112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type="dxa" w:w="14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type="dxa" w:w="22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01.01.2013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type="dxa" w:w="22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31.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type="dxa" w:w="100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11000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122856</w:t>
            </w:r>
          </w:p>
        </w:tc>
        <w:tc>
          <w:tcPr>
            <w:tcW w:type="dxa" w:w="112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type="dxa" w:w="14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type="dxa" w:w="22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10.01.2013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type="dxa" w:w="22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20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type="dxa" w:w="100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99000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6654</w:t>
            </w:r>
          </w:p>
        </w:tc>
        <w:tc>
          <w:tcPr>
            <w:tcW w:type="dxa" w:w="112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type="dxa" w:w="14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type="dxa" w:w="22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01.01.2013 00:00:00</w:t>
            </w:r>
          </w:p>
        </w:tc>
        <w:tc>
          <w:tcPr>
            <w:tcW w:type="dxa" w:w="22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31.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type="dxa" w:w="100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5000</w:t>
            </w:r>
          </w:p>
        </w:tc>
      </w:tr>
    </w:tbl>
    <w:p>
      <w:pPr>
        <w:pStyle w:val="style0"/>
        <w:jc w:val="both"/>
      </w:pPr>
      <w:r>
        <w:rPr>
          <w:rFonts w:ascii="Arial" w:hAnsi="Arial"/>
          <w:sz w:val="18"/>
          <w:szCs w:val="18"/>
        </w:rPr>
      </w:r>
    </w:p>
    <w:p>
      <w:pPr>
        <w:pStyle w:val="style0"/>
        <w:jc w:val="both"/>
      </w:pPr>
      <w:r>
        <w:rPr>
          <w:rFonts w:ascii="Arial" w:hAnsi="Arial"/>
          <w:sz w:val="18"/>
          <w:szCs w:val="18"/>
        </w:rPr>
        <w:t>Новые цены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05"/>
        <w:gridCol w:w="1128"/>
        <w:gridCol w:w="1418"/>
        <w:gridCol w:w="2272"/>
        <w:gridCol w:w="2205"/>
        <w:gridCol w:w="1006"/>
      </w:tblGrid>
      <w:tr>
        <w:trPr>
          <w:cantSplit w:val="false"/>
        </w:trPr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122856</w:t>
            </w:r>
          </w:p>
        </w:tc>
        <w:tc>
          <w:tcPr>
            <w:tcW w:type="dxa" w:w="112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type="dxa" w:w="141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type="dxa" w:w="227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20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.01.2013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type="dxa" w:w="22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20.02.2013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type="dxa" w:w="10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11000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122856</w:t>
            </w:r>
          </w:p>
        </w:tc>
        <w:tc>
          <w:tcPr>
            <w:tcW w:type="dxa" w:w="112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type="dxa" w:w="14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type="dxa" w:w="22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15.01.2013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type="dxa" w:w="22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25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type="dxa" w:w="100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92000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6654</w:t>
            </w:r>
          </w:p>
        </w:tc>
        <w:tc>
          <w:tcPr>
            <w:tcW w:type="dxa" w:w="112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type="dxa" w:w="14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type="dxa" w:w="22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12.01.2013 00:00:00</w:t>
            </w:r>
          </w:p>
        </w:tc>
        <w:tc>
          <w:tcPr>
            <w:tcW w:type="dxa" w:w="22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type="dxa" w:w="100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4000</w:t>
            </w:r>
          </w:p>
        </w:tc>
      </w:tr>
    </w:tbl>
    <w:p>
      <w:pPr>
        <w:pStyle w:val="style0"/>
      </w:pPr>
      <w:r>
        <w:rPr>
          <w:rFonts w:ascii="Arial" w:hAnsi="Arial"/>
          <w:sz w:val="18"/>
          <w:szCs w:val="18"/>
        </w:rPr>
      </w:r>
    </w:p>
    <w:p>
      <w:pPr>
        <w:pStyle w:val="style0"/>
      </w:pPr>
      <w:r>
        <w:rPr>
          <w:rFonts w:ascii="Arial" w:hAnsi="Arial"/>
          <w:sz w:val="18"/>
          <w:szCs w:val="18"/>
        </w:rPr>
        <w:t>Результат: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05"/>
        <w:gridCol w:w="1128"/>
        <w:gridCol w:w="1418"/>
        <w:gridCol w:w="2272"/>
        <w:gridCol w:w="2205"/>
        <w:gridCol w:w="1006"/>
      </w:tblGrid>
      <w:tr>
        <w:trPr>
          <w:cantSplit w:val="false"/>
        </w:trPr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122856</w:t>
            </w:r>
          </w:p>
        </w:tc>
        <w:tc>
          <w:tcPr>
            <w:tcW w:type="dxa" w:w="112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type="dxa" w:w="141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type="dxa" w:w="227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.01.2013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type="dxa" w:w="22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20.02.2013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type="dxa" w:w="10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11000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122856</w:t>
            </w:r>
          </w:p>
        </w:tc>
        <w:tc>
          <w:tcPr>
            <w:tcW w:type="dxa" w:w="112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type="dxa" w:w="14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type="dxa" w:w="22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10.01.2013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type="dxa" w:w="22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15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type="dxa" w:w="100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99000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122856</w:t>
            </w:r>
          </w:p>
        </w:tc>
        <w:tc>
          <w:tcPr>
            <w:tcW w:type="dxa" w:w="112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type="dxa" w:w="14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type="dxa" w:w="22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15.01.2013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type="dxa" w:w="22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25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type="dxa" w:w="100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92000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6654</w:t>
            </w:r>
          </w:p>
        </w:tc>
        <w:tc>
          <w:tcPr>
            <w:tcW w:type="dxa" w:w="112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type="dxa" w:w="14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type="dxa" w:w="22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01.01.2013 00:00:00</w:t>
            </w:r>
          </w:p>
        </w:tc>
        <w:tc>
          <w:tcPr>
            <w:tcW w:type="dxa" w:w="22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12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type="dxa" w:w="100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5000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6654</w:t>
            </w:r>
          </w:p>
        </w:tc>
        <w:tc>
          <w:tcPr>
            <w:tcW w:type="dxa" w:w="112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type="dxa" w:w="14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type="dxa" w:w="22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12.01.2013 00:00:00</w:t>
            </w:r>
          </w:p>
        </w:tc>
        <w:tc>
          <w:tcPr>
            <w:tcW w:type="dxa" w:w="22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type="dxa" w:w="100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4000</w:t>
            </w:r>
          </w:p>
        </w:tc>
      </w:tr>
      <w:tr>
        <w:trPr>
          <w:cantSplit w:val="false"/>
        </w:trPr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6654</w:t>
            </w:r>
          </w:p>
        </w:tc>
        <w:tc>
          <w:tcPr>
            <w:tcW w:type="dxa" w:w="112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type="dxa" w:w="14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type="dxa" w:w="22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13.01.2013 00:00:00</w:t>
            </w:r>
          </w:p>
        </w:tc>
        <w:tc>
          <w:tcPr>
            <w:tcW w:type="dxa" w:w="22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31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type="dxa" w:w="100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both"/>
            </w:pPr>
            <w:r>
              <w:rPr>
                <w:rFonts w:ascii="Arial" w:hAnsi="Arial"/>
                <w:sz w:val="18"/>
                <w:szCs w:val="18"/>
              </w:rPr>
              <w:t>5000</w:t>
            </w:r>
          </w:p>
        </w:tc>
      </w:tr>
    </w:tbl>
    <w:p>
      <w:pPr>
        <w:pStyle w:val="style0"/>
      </w:pPr>
      <w:r>
        <w:rPr>
          <w:rFonts w:ascii="Arial" w:hAnsi="Arial"/>
          <w:sz w:val="18"/>
          <w:szCs w:val="18"/>
        </w:rPr>
      </w:r>
    </w:p>
    <w:p>
      <w:pPr>
        <w:pStyle w:val="style0"/>
      </w:pPr>
      <w:r>
        <w:rPr>
          <w:rFonts w:ascii="Arial" w:hAnsi="Arial"/>
          <w:sz w:val="18"/>
          <w:szCs w:val="18"/>
        </w:rPr>
        <w:t>Для более наглядного понимания можно представить действие цены (одного товара, с одним номером в одном отделе) в виде отрезков времени:</w:t>
      </w:r>
    </w:p>
    <w:p>
      <w:pPr>
        <w:pStyle w:val="style0"/>
      </w:pPr>
      <w:r>
        <w:rPr>
          <w:rFonts w:ascii="Arial" w:hAnsi="Arial"/>
          <w:sz w:val="18"/>
          <w:szCs w:val="18"/>
        </w:rPr>
      </w:r>
    </w:p>
    <w:p>
      <w:pPr>
        <w:pStyle w:val="style0"/>
      </w:pPr>
      <w:r>
        <w:rPr>
          <w:rFonts w:ascii="Arial" w:hAnsi="Arial"/>
          <w:b/>
          <w:bCs/>
          <w:sz w:val="18"/>
          <w:szCs w:val="18"/>
        </w:rPr>
        <w:t>Пример 1:</w:t>
      </w:r>
    </w:p>
    <w:p>
      <w:pPr>
        <w:pStyle w:val="style0"/>
      </w:pPr>
      <w:r>
        <w:rPr>
          <w:rFonts w:ascii="Arial" w:hAnsi="Arial"/>
          <w:sz w:val="18"/>
          <w:szCs w:val="18"/>
        </w:rPr>
        <w:t>Имеем цену: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3935"/>
      </w:tblGrid>
      <w:tr>
        <w:trPr>
          <w:cantSplit w:val="false"/>
        </w:trPr>
        <w:tc>
          <w:tcPr>
            <w:tcW w:type="dxa" w:w="393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D32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rFonts w:ascii="Arial" w:hAnsi="Arial"/>
                <w:sz w:val="18"/>
                <w:szCs w:val="18"/>
                <w:shd w:fill="FFD320" w:val="clear"/>
              </w:rPr>
              <w:t>50</w:t>
            </w:r>
          </w:p>
        </w:tc>
      </w:tr>
    </w:tbl>
    <w:p>
      <w:pPr>
        <w:pStyle w:val="style0"/>
      </w:pPr>
      <w:r>
        <w:rPr>
          <w:rFonts w:ascii="Arial" w:hAnsi="Arial"/>
          <w:sz w:val="18"/>
          <w:szCs w:val="18"/>
        </w:rPr>
      </w:r>
    </w:p>
    <w:p>
      <w:pPr>
        <w:pStyle w:val="style0"/>
      </w:pPr>
      <w:r>
        <w:rPr>
          <w:rFonts w:ascii="Arial" w:hAnsi="Arial"/>
          <w:sz w:val="18"/>
          <w:szCs w:val="18"/>
        </w:rPr>
        <w:t>Пришедшая цена:</w:t>
      </w:r>
    </w:p>
    <w:tbl>
      <w:tblPr>
        <w:jc w:val="left"/>
        <w:tblInd w:type="dxa" w:w="127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269"/>
      </w:tblGrid>
      <w:tr>
        <w:trPr>
          <w:cantSplit w:val="false"/>
        </w:trPr>
        <w:tc>
          <w:tcPr>
            <w:tcW w:type="dxa" w:w="126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420E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ind w:hanging="0" w:left="-55" w:right="-9"/>
            </w:pPr>
            <w:r>
              <w:rPr>
                <w:rFonts w:ascii="Arial" w:hAnsi="Arial"/>
                <w:sz w:val="18"/>
                <w:szCs w:val="18"/>
              </w:rPr>
              <w:t>60</w:t>
            </w:r>
          </w:p>
        </w:tc>
      </w:tr>
    </w:tbl>
    <w:p>
      <w:pPr>
        <w:pStyle w:val="style0"/>
      </w:pPr>
      <w:r>
        <w:rPr>
          <w:rFonts w:ascii="Arial" w:hAnsi="Arial"/>
          <w:sz w:val="18"/>
          <w:szCs w:val="18"/>
        </w:rPr>
      </w:r>
    </w:p>
    <w:p>
      <w:pPr>
        <w:pStyle w:val="style0"/>
      </w:pPr>
      <w:r>
        <w:rPr>
          <w:rFonts w:ascii="Arial" w:hAnsi="Arial"/>
          <w:sz w:val="18"/>
          <w:szCs w:val="18"/>
        </w:rPr>
        <w:t>Результат: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281"/>
        <w:gridCol w:w="1268"/>
        <w:gridCol w:w="1386"/>
      </w:tblGrid>
      <w:tr>
        <w:trPr>
          <w:cantSplit w:val="false"/>
        </w:trPr>
        <w:tc>
          <w:tcPr>
            <w:tcW w:type="dxa" w:w="128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D32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hd w:fill="FFD320" w:val="clear"/>
              <w:tabs>
                <w:tab w:leader="none" w:pos="2579" w:val="left"/>
              </w:tabs>
              <w:ind w:hanging="0" w:left="3" w:right="-9"/>
            </w:pPr>
            <w:r>
              <w:rPr>
                <w:rFonts w:ascii="Arial" w:hAnsi="Arial"/>
                <w:sz w:val="18"/>
                <w:szCs w:val="18"/>
                <w:shd w:fill="FFD320" w:val="clear"/>
              </w:rPr>
              <w:t>50</w:t>
            </w:r>
          </w:p>
        </w:tc>
        <w:tc>
          <w:tcPr>
            <w:tcW w:type="dxa" w:w="126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420E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hd w:fill="FF420E" w:val="clear"/>
            </w:pPr>
            <w:r>
              <w:rPr>
                <w:rFonts w:ascii="Arial" w:hAnsi="Arial"/>
                <w:sz w:val="18"/>
                <w:szCs w:val="18"/>
              </w:rPr>
              <w:t>60</w:t>
            </w:r>
          </w:p>
        </w:tc>
        <w:tc>
          <w:tcPr>
            <w:tcW w:type="dxa" w:w="138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D32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shd w:fill="FFD320" w:val="clear"/>
            </w:pPr>
            <w:r>
              <w:rPr>
                <w:rFonts w:ascii="Arial" w:hAnsi="Arial"/>
                <w:sz w:val="18"/>
                <w:szCs w:val="18"/>
              </w:rPr>
              <w:t>50</w:t>
            </w:r>
          </w:p>
        </w:tc>
      </w:tr>
    </w:tbl>
    <w:p>
      <w:pPr>
        <w:pStyle w:val="style0"/>
      </w:pPr>
      <w:r>
        <w:rPr>
          <w:rFonts w:ascii="Arial" w:hAnsi="Arial"/>
          <w:sz w:val="18"/>
          <w:szCs w:val="18"/>
        </w:rPr>
      </w:r>
    </w:p>
    <w:p>
      <w:pPr>
        <w:pStyle w:val="style0"/>
      </w:pPr>
      <w:r>
        <w:rPr>
          <w:rFonts w:ascii="Arial" w:hAnsi="Arial"/>
          <w:b/>
          <w:bCs/>
          <w:sz w:val="18"/>
          <w:szCs w:val="18"/>
        </w:rPr>
        <w:t>Пример 2:</w:t>
      </w:r>
    </w:p>
    <w:p>
      <w:pPr>
        <w:pStyle w:val="style0"/>
      </w:pPr>
      <w:r>
        <w:rPr>
          <w:rFonts w:ascii="Arial" w:hAnsi="Arial"/>
          <w:sz w:val="18"/>
          <w:szCs w:val="18"/>
        </w:rPr>
        <w:t>Имеем цены: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700"/>
        <w:gridCol w:w="1234"/>
      </w:tblGrid>
      <w:tr>
        <w:trPr>
          <w:cantSplit w:val="false"/>
        </w:trPr>
        <w:tc>
          <w:tcPr>
            <w:tcW w:type="dxa" w:w="270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00AE0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rFonts w:ascii="Arial" w:hAnsi="Arial"/>
                <w:sz w:val="18"/>
                <w:szCs w:val="18"/>
              </w:rPr>
              <w:t>100</w:t>
            </w:r>
          </w:p>
        </w:tc>
        <w:tc>
          <w:tcPr>
            <w:tcW w:type="dxa" w:w="1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00808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rFonts w:ascii="Arial" w:hAnsi="Arial"/>
                <w:sz w:val="18"/>
                <w:szCs w:val="18"/>
              </w:rPr>
              <w:t>120</w:t>
            </w:r>
          </w:p>
        </w:tc>
      </w:tr>
    </w:tbl>
    <w:p>
      <w:pPr>
        <w:pStyle w:val="style0"/>
      </w:pPr>
      <w:r>
        <w:rPr>
          <w:rFonts w:ascii="Arial" w:hAnsi="Arial"/>
          <w:sz w:val="18"/>
          <w:szCs w:val="18"/>
        </w:rPr>
      </w:r>
    </w:p>
    <w:p>
      <w:pPr>
        <w:pStyle w:val="style0"/>
      </w:pPr>
      <w:r>
        <w:rPr>
          <w:rFonts w:ascii="Arial" w:hAnsi="Arial"/>
          <w:sz w:val="18"/>
          <w:szCs w:val="18"/>
        </w:rPr>
        <w:t>Пришедшая цена:</w:t>
      </w:r>
    </w:p>
    <w:tbl>
      <w:tblPr>
        <w:jc w:val="left"/>
        <w:tblInd w:type="dxa" w:w="15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581"/>
      </w:tblGrid>
      <w:tr>
        <w:trPr>
          <w:cantSplit w:val="false"/>
        </w:trPr>
        <w:tc>
          <w:tcPr>
            <w:tcW w:type="dxa" w:w="158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00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ind w:hanging="0" w:left="49" w:right="-9"/>
            </w:pPr>
            <w:r>
              <w:rPr>
                <w:rFonts w:ascii="Arial" w:hAnsi="Arial"/>
                <w:sz w:val="18"/>
                <w:szCs w:val="18"/>
              </w:rPr>
              <w:t>110</w:t>
            </w:r>
          </w:p>
        </w:tc>
      </w:tr>
    </w:tbl>
    <w:p>
      <w:pPr>
        <w:pStyle w:val="style0"/>
      </w:pPr>
      <w:r>
        <w:rPr>
          <w:rFonts w:ascii="Arial" w:hAnsi="Arial"/>
          <w:sz w:val="18"/>
          <w:szCs w:val="18"/>
        </w:rPr>
      </w:r>
    </w:p>
    <w:p>
      <w:pPr>
        <w:pStyle w:val="style0"/>
      </w:pPr>
      <w:r>
        <w:rPr>
          <w:rFonts w:ascii="Arial" w:hAnsi="Arial"/>
          <w:sz w:val="18"/>
          <w:szCs w:val="18"/>
        </w:rPr>
        <w:t>Результат: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11"/>
        <w:gridCol w:w="1580"/>
        <w:gridCol w:w="844"/>
      </w:tblGrid>
      <w:tr>
        <w:trPr>
          <w:cantSplit w:val="false"/>
        </w:trPr>
        <w:tc>
          <w:tcPr>
            <w:tcW w:type="dxa" w:w="151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00AE0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ind w:hanging="0" w:left="3" w:right="-9"/>
            </w:pPr>
            <w:r>
              <w:rPr>
                <w:rFonts w:ascii="Arial" w:hAnsi="Arial"/>
                <w:sz w:val="18"/>
                <w:szCs w:val="18"/>
              </w:rPr>
              <w:t>100</w:t>
            </w:r>
          </w:p>
        </w:tc>
        <w:tc>
          <w:tcPr>
            <w:tcW w:type="dxa" w:w="158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00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rFonts w:ascii="Arial" w:hAnsi="Arial"/>
                <w:sz w:val="18"/>
                <w:szCs w:val="18"/>
              </w:rPr>
              <w:t>110</w:t>
            </w:r>
          </w:p>
        </w:tc>
        <w:tc>
          <w:tcPr>
            <w:tcW w:type="dxa" w:w="84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33A3A3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rFonts w:ascii="Arial" w:hAnsi="Arial"/>
                <w:sz w:val="18"/>
                <w:szCs w:val="18"/>
              </w:rPr>
              <w:t>120</w:t>
            </w:r>
          </w:p>
        </w:tc>
      </w:tr>
    </w:tbl>
    <w:p>
      <w:pPr>
        <w:pStyle w:val="style0"/>
      </w:pPr>
      <w:r>
        <w:rPr>
          <w:rFonts w:ascii="Arial" w:hAnsi="Arial"/>
          <w:sz w:val="18"/>
          <w:szCs w:val="18"/>
        </w:rPr>
      </w:r>
    </w:p>
    <w:p>
      <w:pPr>
        <w:pStyle w:val="style0"/>
      </w:pPr>
      <w:r>
        <w:rPr>
          <w:rFonts w:ascii="Arial" w:hAnsi="Arial"/>
          <w:b/>
          <w:bCs/>
          <w:sz w:val="18"/>
          <w:szCs w:val="18"/>
        </w:rPr>
        <w:t>Пример3:</w:t>
      </w:r>
    </w:p>
    <w:p>
      <w:pPr>
        <w:pStyle w:val="style0"/>
      </w:pPr>
      <w:r>
        <w:rPr>
          <w:rFonts w:ascii="Arial" w:hAnsi="Arial"/>
          <w:sz w:val="18"/>
          <w:szCs w:val="18"/>
        </w:rPr>
        <w:t>Имеем цены: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095"/>
        <w:gridCol w:w="1177"/>
        <w:gridCol w:w="1674"/>
      </w:tblGrid>
      <w:tr>
        <w:trPr>
          <w:cantSplit w:val="false"/>
        </w:trPr>
        <w:tc>
          <w:tcPr>
            <w:tcW w:type="dxa" w:w="10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CC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rFonts w:ascii="Arial" w:hAnsi="Arial"/>
                <w:sz w:val="18"/>
                <w:szCs w:val="18"/>
              </w:rPr>
              <w:t>80</w:t>
            </w:r>
          </w:p>
        </w:tc>
        <w:tc>
          <w:tcPr>
            <w:tcW w:type="dxa" w:w="117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E6FF0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rFonts w:ascii="Arial" w:hAnsi="Arial"/>
                <w:sz w:val="18"/>
                <w:szCs w:val="18"/>
              </w:rPr>
              <w:t>87</w:t>
            </w:r>
          </w:p>
        </w:tc>
        <w:tc>
          <w:tcPr>
            <w:tcW w:type="dxa" w:w="16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rFonts w:ascii="Arial" w:hAnsi="Arial"/>
                <w:sz w:val="18"/>
                <w:szCs w:val="18"/>
              </w:rPr>
              <w:t>90</w:t>
            </w:r>
          </w:p>
        </w:tc>
      </w:tr>
    </w:tbl>
    <w:p>
      <w:pPr>
        <w:pStyle w:val="style0"/>
      </w:pPr>
      <w:r>
        <w:rPr>
          <w:rFonts w:ascii="Arial" w:hAnsi="Arial"/>
          <w:sz w:val="18"/>
          <w:szCs w:val="18"/>
        </w:rPr>
      </w:r>
    </w:p>
    <w:p>
      <w:pPr>
        <w:pStyle w:val="style0"/>
      </w:pPr>
      <w:r>
        <w:rPr>
          <w:rFonts w:ascii="Arial" w:hAnsi="Arial"/>
          <w:sz w:val="18"/>
          <w:szCs w:val="18"/>
        </w:rPr>
        <w:t>Пришедшие цены:</w:t>
      </w:r>
    </w:p>
    <w:tbl>
      <w:tblPr>
        <w:jc w:val="left"/>
        <w:tblInd w:type="dxa" w:w="58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072"/>
        <w:gridCol w:w="1615"/>
      </w:tblGrid>
      <w:tr>
        <w:trPr>
          <w:cantSplit w:val="false"/>
        </w:trPr>
        <w:tc>
          <w:tcPr>
            <w:tcW w:type="dxa" w:w="107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CC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rFonts w:ascii="Arial" w:hAnsi="Arial"/>
                <w:sz w:val="18"/>
                <w:szCs w:val="18"/>
              </w:rPr>
              <w:t>80</w:t>
            </w:r>
          </w:p>
        </w:tc>
        <w:tc>
          <w:tcPr>
            <w:tcW w:type="dxa" w:w="161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0C0C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rFonts w:ascii="Arial" w:hAnsi="Arial"/>
                <w:sz w:val="18"/>
                <w:szCs w:val="18"/>
              </w:rPr>
              <w:t>85</w:t>
            </w:r>
          </w:p>
        </w:tc>
      </w:tr>
    </w:tbl>
    <w:p>
      <w:pPr>
        <w:pStyle w:val="style0"/>
      </w:pPr>
      <w:r>
        <w:rPr>
          <w:rFonts w:ascii="Arial" w:hAnsi="Arial"/>
          <w:sz w:val="18"/>
          <w:szCs w:val="18"/>
        </w:rPr>
      </w:r>
    </w:p>
    <w:p>
      <w:pPr>
        <w:pStyle w:val="style0"/>
      </w:pPr>
      <w:r>
        <w:rPr>
          <w:rFonts w:ascii="Arial" w:hAnsi="Arial"/>
          <w:sz w:val="18"/>
          <w:szCs w:val="18"/>
        </w:rPr>
        <w:t>Результат: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62"/>
        <w:gridCol w:w="1614"/>
        <w:gridCol w:w="670"/>
      </w:tblGrid>
      <w:tr>
        <w:trPr>
          <w:cantSplit w:val="false"/>
        </w:trPr>
        <w:tc>
          <w:tcPr>
            <w:tcW w:type="dxa" w:w="166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CC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rFonts w:ascii="Arial" w:hAnsi="Arial"/>
                <w:sz w:val="18"/>
                <w:szCs w:val="18"/>
              </w:rPr>
              <w:t>80</w:t>
            </w:r>
          </w:p>
        </w:tc>
        <w:tc>
          <w:tcPr>
            <w:tcW w:type="dxa" w:w="161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0C0C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rFonts w:ascii="Arial" w:hAnsi="Arial"/>
                <w:sz w:val="18"/>
                <w:szCs w:val="18"/>
              </w:rPr>
              <w:t>85</w:t>
            </w:r>
          </w:p>
        </w:tc>
        <w:tc>
          <w:tcPr>
            <w:tcW w:type="dxa" w:w="67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</w:pPr>
            <w:r>
              <w:rPr>
                <w:rFonts w:ascii="Arial" w:hAnsi="Arial"/>
                <w:sz w:val="18"/>
                <w:szCs w:val="18"/>
              </w:rPr>
              <w:t>90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567" w:footer="0" w:gutter="0" w:header="0" w:left="1134" w:right="1134" w:top="588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120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92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64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08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80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52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24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96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hi-IN" w:val="ru-RU"/>
    </w:rPr>
  </w:style>
  <w:style w:styleId="style15" w:type="character">
    <w:name w:val="Default Paragraph Font"/>
    <w:next w:val="style15"/>
    <w:rPr/>
  </w:style>
  <w:style w:styleId="style16" w:type="character">
    <w:name w:val="Маркеры списка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OpenSymbol"/>
    </w:rPr>
  </w:style>
  <w:style w:styleId="style18" w:type="character">
    <w:name w:val="ListLabel 2"/>
    <w:next w:val="style18"/>
    <w:rPr>
      <w:rFonts w:cs="Courier New"/>
    </w:rPr>
  </w:style>
  <w:style w:styleId="style19" w:type="paragraph">
    <w:name w:val="Заголовок"/>
    <w:basedOn w:val="style0"/>
    <w:next w:val="style20"/>
    <w:pPr>
      <w:keepNext/>
      <w:spacing w:after="120" w:before="240"/>
      <w:contextualSpacing w:val="false"/>
    </w:pPr>
    <w:rPr>
      <w:rFonts w:ascii="Arial" w:cs="Lohit Hindi" w:eastAsia="Microsoft YaHei" w:hAnsi="Arial"/>
      <w:sz w:val="28"/>
      <w:szCs w:val="28"/>
    </w:rPr>
  </w:style>
  <w:style w:styleId="style20" w:type="paragraph">
    <w:name w:val="Основной текст"/>
    <w:basedOn w:val="style0"/>
    <w:next w:val="style20"/>
    <w:pPr>
      <w:spacing w:after="120" w:before="0"/>
      <w:contextualSpacing w:val="false"/>
    </w:pPr>
    <w:rPr/>
  </w:style>
  <w:style w:styleId="style21" w:type="paragraph">
    <w:name w:val="Список"/>
    <w:basedOn w:val="style20"/>
    <w:next w:val="style21"/>
    <w:pPr/>
    <w:rPr>
      <w:rFonts w:cs="Lohit Hindi"/>
    </w:rPr>
  </w:style>
  <w:style w:styleId="style22" w:type="paragraph">
    <w:name w:val="Название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Указатель"/>
    <w:basedOn w:val="style0"/>
    <w:next w:val="style23"/>
    <w:pPr>
      <w:suppressLineNumbers/>
    </w:pPr>
    <w:rPr>
      <w:rFonts w:cs="Lohit Hindi"/>
    </w:rPr>
  </w:style>
  <w:style w:styleId="style24" w:type="paragraph">
    <w:name w:val="Название1"/>
    <w:basedOn w:val="style0"/>
    <w:next w:val="style24"/>
    <w:pPr>
      <w:suppressLineNumbers/>
      <w:spacing w:after="120" w:before="120"/>
      <w:contextualSpacing w:val="false"/>
    </w:pPr>
    <w:rPr>
      <w:i/>
      <w:iCs/>
    </w:rPr>
  </w:style>
  <w:style w:styleId="style25" w:type="paragraph">
    <w:name w:val="Указатель1"/>
    <w:basedOn w:val="style0"/>
    <w:next w:val="style25"/>
    <w:pPr>
      <w:suppressLineNumbers/>
    </w:pPr>
    <w:rPr/>
  </w:style>
  <w:style w:styleId="style26" w:type="paragraph">
    <w:name w:val="Содержимое таблицы"/>
    <w:basedOn w:val="style0"/>
    <w:next w:val="style26"/>
    <w:pPr>
      <w:suppressLineNumbers/>
    </w:pPr>
    <w:rPr/>
  </w:style>
  <w:style w:styleId="style27" w:type="paragraph">
    <w:name w:val="Заголовок таблицы"/>
    <w:basedOn w:val="style26"/>
    <w:next w:val="style27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2013-09-16T09:41:00.00Z</dcterms:created>
  <dc:creator>Игорь Аксёнов</dc:creator>
  <cp:lastModifiedBy>Суворова Софья</cp:lastModifiedBy>
  <cp:lastPrinted>1900-12-31T20:00:00.00Z</cp:lastPrinted>
  <dcterms:modified xsi:type="dcterms:W3CDTF">2013-09-16T09:41:00.00Z</dcterms:modified>
  <cp:revision>2</cp:revision>
</cp:coreProperties>
</file>