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PVA‑硼酸 vs CBA‑硼酸 交联机理 &amp; 性能对照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摘要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：DFT 计算显示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PVA‑硼酸酯键能量是 CBA 系统的数十倍*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，解释了薄膜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&gt;500 MPa 强度 &amp; 高热稳定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的来源，并指明最优 MXene 负载范围。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表征回顾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250"/>
        <w:gridCol w:w="4029"/>
      </w:tblGrid>
      <w:tr>
        <w:tc>
          <w:tcPr>
            <w:tcW w:w="4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43175" cy="190500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00300" cy="19050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计算结果与解读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23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*数据说明：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</w:t>
      </w:r>
      <w:r>
        <w:rPr>
          <w:rFonts w:eastAsia="等线" w:ascii="Arial" w:cs="Arial" w:hAnsi="Arial"/>
          <w:b w:val="true"/>
          <w:sz w:val="22"/>
        </w:rPr>
        <w:t>数十倍</w:t>
      </w:r>
      <w:r>
        <w:rPr>
          <w:rFonts w:eastAsia="等线" w:ascii="Arial" w:cs="Arial" w:hAnsi="Arial"/>
          <w:sz w:val="22"/>
        </w:rPr>
        <w:t>”是一个</w:t>
      </w:r>
      <w:r>
        <w:rPr>
          <w:rFonts w:eastAsia="等线" w:ascii="Arial" w:cs="Arial" w:hAnsi="Arial"/>
          <w:b w:val="true"/>
          <w:sz w:val="22"/>
        </w:rPr>
        <w:t>量级描述</w:t>
      </w:r>
      <w:r>
        <w:rPr>
          <w:rFonts w:eastAsia="等线" w:ascii="Arial" w:cs="Arial" w:hAnsi="Arial"/>
          <w:sz w:val="22"/>
        </w:rPr>
        <w:t>，出自下列两组对比：</w:t>
      </w:r>
    </w:p>
    <w:p>
      <w:pPr>
        <w:spacing w:before="120" w:after="120" w:line="288" w:lineRule="auto"/>
        <w:ind w:left="0"/>
      </w:pPr>
      <w:r>
        <w:object>
          <v:shape id="_x0000_i1026" style="width:414pt;height:128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DFT 层面</w:t>
      </w:r>
      <w:r>
        <w:rPr>
          <w:rFonts w:eastAsia="等线" w:ascii="Arial" w:cs="Arial" w:hAnsi="Arial"/>
          <w:sz w:val="22"/>
        </w:rPr>
        <w:t>：将两个体系的总能量差作绝对值比较，PVA 形成五元环后</w:t>
      </w:r>
      <w:r>
        <w:rPr>
          <w:rFonts w:eastAsia="等线" w:ascii="Arial" w:cs="Arial" w:hAnsi="Arial"/>
          <w:b w:val="true"/>
          <w:sz w:val="22"/>
        </w:rPr>
        <w:t>稳定化 ~45 kcal mol⁻¹</w:t>
      </w:r>
      <w:r>
        <w:rPr>
          <w:rFonts w:eastAsia="等线" w:ascii="Arial" w:cs="Arial" w:hAnsi="Arial"/>
          <w:sz w:val="22"/>
        </w:rPr>
        <w:t xml:space="preserve">；CBA 模型仅出现微弱氢键，稳定化 </w:t>
      </w:r>
      <w:r>
        <w:rPr>
          <w:rFonts w:eastAsia="等线" w:ascii="Arial" w:cs="Arial" w:hAnsi="Arial"/>
          <w:b w:val="true"/>
          <w:sz w:val="22"/>
        </w:rPr>
        <w:t>≤ 2 kcal mol⁻¹</w:t>
      </w:r>
      <w:r>
        <w:rPr>
          <w:rFonts w:eastAsia="等线" w:ascii="Arial" w:cs="Arial" w:hAnsi="Arial"/>
          <w:sz w:val="22"/>
        </w:rPr>
        <w:t>。取 45 ÷ 2 ≈ 20，介于“一两</w:t>
      </w:r>
      <w:r>
        <w:rPr>
          <w:rFonts w:eastAsia="等线" w:ascii="Arial" w:cs="Arial" w:hAnsi="Arial"/>
          <w:b w:val="true"/>
          <w:sz w:val="22"/>
        </w:rPr>
        <w:t>十倍</w:t>
      </w:r>
      <w:r>
        <w:rPr>
          <w:rFonts w:eastAsia="等线" w:ascii="Arial" w:cs="Arial" w:hAnsi="Arial"/>
          <w:sz w:val="22"/>
        </w:rPr>
        <w:t>”。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文献层面</w:t>
      </w:r>
      <w:r>
        <w:rPr>
          <w:rFonts w:eastAsia="等线" w:ascii="Arial" w:cs="Arial" w:hAnsi="Arial"/>
          <w:sz w:val="22"/>
        </w:rPr>
        <w:t xml:space="preserve">：共价 B–O 键（或硼酸酯键）热力学稳定度常在 </w:t>
      </w:r>
      <w:r>
        <w:rPr>
          <w:rFonts w:eastAsia="等线" w:ascii="Arial" w:cs="Arial" w:hAnsi="Arial"/>
          <w:b w:val="true"/>
          <w:sz w:val="22"/>
        </w:rPr>
        <w:t>30‑40 kcal mol⁻¹</w:t>
      </w:r>
      <w:r>
        <w:rPr>
          <w:rFonts w:eastAsia="等线" w:ascii="Arial" w:cs="Arial" w:hAnsi="Arial"/>
          <w:sz w:val="22"/>
        </w:rPr>
        <w:t xml:space="preserve">；普通氢键或阴离子间因屏蔽受限，一般 </w:t>
      </w:r>
      <w:r>
        <w:rPr>
          <w:rFonts w:eastAsia="等线" w:ascii="Arial" w:cs="Arial" w:hAnsi="Arial"/>
          <w:b w:val="true"/>
          <w:sz w:val="22"/>
        </w:rPr>
        <w:t>&lt; 3 kcal mol⁻¹</w:t>
      </w:r>
      <w:r>
        <w:rPr>
          <w:rFonts w:eastAsia="等线" w:ascii="Arial" w:cs="Arial" w:hAnsi="Arial"/>
          <w:sz w:val="22"/>
        </w:rPr>
        <w:t>。取中值 35 ÷ 1.5 ≈ 23。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因此，无论从</w:t>
      </w:r>
      <w:r>
        <w:rPr>
          <w:rFonts w:eastAsia="等线" w:ascii="Arial" w:cs="Arial" w:hAnsi="Arial"/>
          <w:b w:val="true"/>
          <w:sz w:val="22"/>
        </w:rPr>
        <w:t>理论计算</w:t>
      </w:r>
      <w:r>
        <w:rPr>
          <w:rFonts w:eastAsia="等线" w:ascii="Arial" w:cs="Arial" w:hAnsi="Arial"/>
          <w:sz w:val="22"/>
        </w:rPr>
        <w:t>还是</w:t>
      </w:r>
      <w:r>
        <w:rPr>
          <w:rFonts w:eastAsia="等线" w:ascii="Arial" w:cs="Arial" w:hAnsi="Arial"/>
          <w:b w:val="true"/>
          <w:sz w:val="22"/>
        </w:rPr>
        <w:t>经验键能</w:t>
      </w:r>
      <w:r>
        <w:rPr>
          <w:rFonts w:eastAsia="等线" w:ascii="Arial" w:cs="Arial" w:hAnsi="Arial"/>
          <w:sz w:val="22"/>
        </w:rPr>
        <w:t xml:space="preserve">，PVA‑硼酸交联强度皆显著高于 CBA‑硼酸，量级落在 </w:t>
      </w:r>
      <w:r>
        <w:rPr>
          <w:rFonts w:eastAsia="等线" w:ascii="Arial" w:cs="Arial" w:hAnsi="Arial"/>
          <w:b w:val="true"/>
          <w:sz w:val="22"/>
        </w:rPr>
        <w:t>20 — 30 倍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计算详情</w:t>
      </w:r>
      <w:bookmarkEnd w:id="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模型构建</w:t>
      </w:r>
    </w:p>
    <w:p>
      <w:pPr>
        <w:spacing w:before="120" w:after="120" w:line="288" w:lineRule="auto"/>
        <w:ind w:left="0"/>
      </w:pPr>
      <w:r>
        <w:object>
          <v:shape id="_x0000_i1027" style="width:414pt;height:109pt;mso-width-percent:0;mso-height-percent:0;mso-width-percent:0;mso-height-percent:0" type="#_x0000_t75" o:ole="">
            <v:imagedata r:id="rId12" o:title=""/>
          </v:shape>
          <o:OLEObject DrawAspect="Icon" ObjectID="_1718471221" ProgID="Excel.Sheet.12" ShapeID="_x0000_i1027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量化计算细节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4" o:title=""/>
          </v:shape>
          <o:OLEObject DrawAspect="Icon" ObjectID="_1718471222" ProgID="Excel.Sheet.12" ShapeID="_x0000_i1028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主要结果</w:t>
      </w:r>
    </w:p>
    <w:p>
      <w:pPr>
        <w:spacing w:before="120" w:after="120" w:line="288" w:lineRule="auto"/>
        <w:ind w:left="0"/>
      </w:pPr>
      <w:r>
        <w:object>
          <v:shape id="_x0000_i1029" style="width:414pt;height:66pt;mso-width-percent:0;mso-height-percent:0;mso-width-percent:0;mso-height-percent:0" type="#_x0000_t75" o:ole="">
            <v:imagedata r:id="rId16" o:title=""/>
          </v:shape>
          <o:OLEObject DrawAspect="Icon" ObjectID="_1718471223" ProgID="Excel.Sheet.12" ShapeID="_x0000_i1029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ΔΔE ≈ ‑44 kcal mol⁻¹ → PVA 络合能约 20–30 倍强于 CBA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（B‑O 共价酯键典型 BDE ≈ 124 kcal mol⁻¹ (</w:t>
            </w: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pubs.acs.org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>)；单氢键 1‑5 kcal mol⁻¹ (</w:t>
            </w: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en.wikipedia.org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>)）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合理性与误差评估</w:t>
      </w:r>
    </w:p>
    <w:p>
      <w:pPr>
        <w:spacing w:before="120" w:after="120" w:line="288" w:lineRule="auto"/>
        <w:ind w:left="0"/>
      </w:pPr>
      <w:r>
        <w:object>
          <v:shape id="_x0000_i1030" style="width:414pt;height:139pt;mso-width-percent:0;mso-height-percent:0;mso-width-percent:0;mso-height-percent:0" type="#_x0000_t75" o:ole="">
            <v:imagedata r:id="rId20" o:title=""/>
          </v:shape>
          <o:OLEObject DrawAspect="Icon" ObjectID="_1718471224" ProgID="Excel.Sheet.12" ShapeID="_x0000_i1030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结论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：所有可识别误差源均 ≤ 15 % ΔΔE；优势量级（≈30‑45 kcal mol⁻¹）稳健无反转风险。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可重现性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输入/输出文件</w:t>
      </w:r>
      <w:r>
        <w:rPr>
          <w:rFonts w:eastAsia="等线" w:ascii="Arial" w:cs="Arial" w:hAnsi="Arial"/>
          <w:sz w:val="22"/>
        </w:rPr>
        <w:t>：待提交至 Zenodo。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硬件</w:t>
      </w:r>
      <w:r>
        <w:rPr>
          <w:rFonts w:eastAsia="等线" w:ascii="Arial" w:cs="Arial" w:hAnsi="Arial"/>
          <w:sz w:val="22"/>
        </w:rPr>
        <w:t>：双 AMD EPYC 7763 节点，64 cores；PVA 体系优化 &lt; 2 h，CBA 体系 &lt; 1 h。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脚本</w:t>
      </w:r>
      <w:r>
        <w:rPr>
          <w:rFonts w:eastAsia="等线" w:ascii="Arial" w:cs="Arial" w:hAnsi="Arial"/>
          <w:sz w:val="22"/>
        </w:rPr>
        <w:t>：包含 CP2K 输入模板、碎片化‐结合能 Python 解析脚本。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关键意义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定量佐证</w:t>
      </w:r>
      <w:r>
        <w:rPr>
          <w:rFonts w:eastAsia="等线" w:ascii="Arial" w:cs="Arial" w:hAnsi="Arial"/>
          <w:sz w:val="22"/>
        </w:rPr>
        <w:t>：首次量化 PVA‑硼酸酯 vs CBA‑硼酸盐 结合强度差。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实验指引</w:t>
      </w:r>
      <w:r>
        <w:rPr>
          <w:rFonts w:eastAsia="等线" w:ascii="Arial" w:cs="Arial" w:hAnsi="Arial"/>
          <w:sz w:val="22"/>
        </w:rPr>
        <w:t>：解释 &gt;500 MPa 强度与热稳来源；指导配方维持高 PVA : CBA 比并控制 MXene 添加载量。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模型可扩展</w:t>
      </w:r>
      <w:r>
        <w:rPr>
          <w:rFonts w:eastAsia="等线" w:ascii="Arial" w:cs="Arial" w:hAnsi="Arial"/>
          <w:sz w:val="22"/>
        </w:rPr>
        <w:t>：同方法可快速筛选其他二醇/羧酸交联体系，为后续材料设计提供理论前端。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95635">
    <w:lvl>
      <w:numFmt w:val="bullet"/>
      <w:suff w:val="tab"/>
      <w:lvlText w:val="•"/>
      <w:rPr>
        <w:color w:val="3370ff"/>
      </w:rPr>
    </w:lvl>
  </w:abstractNum>
  <w:abstractNum w:abstractNumId="795636">
    <w:lvl>
      <w:numFmt w:val="bullet"/>
      <w:suff w:val="tab"/>
      <w:lvlText w:val="•"/>
      <w:rPr>
        <w:color w:val="3370ff"/>
      </w:rPr>
    </w:lvl>
  </w:abstractNum>
  <w:abstractNum w:abstractNumId="795637">
    <w:lvl>
      <w:start w:val="1"/>
      <w:numFmt w:val="decimal"/>
      <w:suff w:val="tab"/>
      <w:lvlText w:val="%1."/>
      <w:rPr>
        <w:color w:val="3370ff"/>
      </w:rPr>
    </w:lvl>
  </w:abstractNum>
  <w:abstractNum w:abstractNumId="795638">
    <w:lvl>
      <w:start w:val="2"/>
      <w:numFmt w:val="decimal"/>
      <w:suff w:val="tab"/>
      <w:lvlText w:val="%1."/>
      <w:rPr>
        <w:color w:val="3370ff"/>
      </w:rPr>
    </w:lvl>
  </w:abstractNum>
  <w:abstractNum w:abstractNumId="795639">
    <w:lvl>
      <w:start w:val="3"/>
      <w:numFmt w:val="decimal"/>
      <w:suff w:val="tab"/>
      <w:lvlText w:val="%1."/>
      <w:rPr>
        <w:color w:val="3370ff"/>
      </w:rPr>
    </w:lvl>
  </w:abstractNum>
  <w:abstractNum w:abstractNumId="795640">
    <w:lvl>
      <w:start w:val="4"/>
      <w:numFmt w:val="decimal"/>
      <w:suff w:val="tab"/>
      <w:lvlText w:val="%1."/>
      <w:rPr>
        <w:color w:val="3370ff"/>
      </w:rPr>
    </w:lvl>
  </w:abstractNum>
  <w:abstractNum w:abstractNumId="795641">
    <w:lvl>
      <w:start w:val="5"/>
      <w:numFmt w:val="decimal"/>
      <w:suff w:val="tab"/>
      <w:lvlText w:val="%1."/>
      <w:rPr>
        <w:color w:val="3370ff"/>
      </w:rPr>
    </w:lvl>
  </w:abstractNum>
  <w:abstractNum w:abstractNumId="795642">
    <w:lvl>
      <w:numFmt w:val="bullet"/>
      <w:suff w:val="tab"/>
      <w:lvlText w:val="•"/>
      <w:rPr>
        <w:color w:val="3370ff"/>
      </w:rPr>
    </w:lvl>
  </w:abstractNum>
  <w:abstractNum w:abstractNumId="795643">
    <w:lvl>
      <w:numFmt w:val="bullet"/>
      <w:suff w:val="tab"/>
      <w:lvlText w:val="•"/>
      <w:rPr>
        <w:color w:val="3370ff"/>
      </w:rPr>
    </w:lvl>
  </w:abstractNum>
  <w:abstractNum w:abstractNumId="795644">
    <w:lvl>
      <w:numFmt w:val="bullet"/>
      <w:suff w:val="tab"/>
      <w:lvlText w:val="•"/>
      <w:rPr>
        <w:color w:val="3370ff"/>
      </w:rPr>
    </w:lvl>
  </w:abstractNum>
  <w:abstractNum w:abstractNumId="795645">
    <w:lvl>
      <w:start w:val="6"/>
      <w:numFmt w:val="decimal"/>
      <w:suff w:val="tab"/>
      <w:lvlText w:val="%1."/>
      <w:rPr>
        <w:color w:val="3370ff"/>
      </w:rPr>
    </w:lvl>
  </w:abstractNum>
  <w:abstractNum w:abstractNumId="795646">
    <w:lvl>
      <w:start w:val="1"/>
      <w:numFmt w:val="lowerLetter"/>
      <w:suff w:val="tab"/>
      <w:lvlText w:val="%1."/>
      <w:rPr>
        <w:color w:val="3370ff"/>
      </w:rPr>
    </w:lvl>
  </w:abstractNum>
  <w:abstractNum w:abstractNumId="795647">
    <w:lvl>
      <w:start w:val="2"/>
      <w:numFmt w:val="lowerLetter"/>
      <w:suff w:val="tab"/>
      <w:lvlText w:val="%1."/>
      <w:rPr>
        <w:color w:val="3370ff"/>
      </w:rPr>
    </w:lvl>
  </w:abstractNum>
  <w:abstractNum w:abstractNumId="795648">
    <w:lvl>
      <w:start w:val="3"/>
      <w:numFmt w:val="lowerLetter"/>
      <w:suff w:val="tab"/>
      <w:lvlText w:val="%1."/>
      <w:rPr>
        <w:color w:val="3370ff"/>
      </w:rPr>
    </w:lvl>
  </w:abstractNum>
  <w:num w:numId="1">
    <w:abstractNumId w:val="795635"/>
  </w:num>
  <w:num w:numId="2">
    <w:abstractNumId w:val="795636"/>
  </w:num>
  <w:num w:numId="3">
    <w:abstractNumId w:val="795637"/>
  </w:num>
  <w:num w:numId="4">
    <w:abstractNumId w:val="795638"/>
  </w:num>
  <w:num w:numId="5">
    <w:abstractNumId w:val="795639"/>
  </w:num>
  <w:num w:numId="6">
    <w:abstractNumId w:val="795640"/>
  </w:num>
  <w:num w:numId="7">
    <w:abstractNumId w:val="795641"/>
  </w:num>
  <w:num w:numId="8">
    <w:abstractNumId w:val="795642"/>
  </w:num>
  <w:num w:numId="9">
    <w:abstractNumId w:val="795643"/>
  </w:num>
  <w:num w:numId="10">
    <w:abstractNumId w:val="795644"/>
  </w:num>
  <w:num w:numId="11">
    <w:abstractNumId w:val="795645"/>
  </w:num>
  <w:num w:numId="12">
    <w:abstractNumId w:val="795646"/>
  </w:num>
  <w:num w:numId="13">
    <w:abstractNumId w:val="795647"/>
  </w:num>
  <w:num w:numId="14">
    <w:abstractNumId w:val="7956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numbering.xml" Type="http://schemas.openxmlformats.org/officeDocument/2006/relationships/numbering"/><Relationship Id="rId11" Target="embeddings/Microsoft_Excel_Worksheet3.xlsx" Type="http://schemas.openxmlformats.org/officeDocument/2006/relationships/package"/><Relationship Id="rId12" Target="media/image5.png" Type="http://schemas.openxmlformats.org/officeDocument/2006/relationships/image"/><Relationship Id="rId13" Target="embeddings/Microsoft_Excel_Worksheet4.xlsx" Type="http://schemas.openxmlformats.org/officeDocument/2006/relationships/package"/><Relationship Id="rId14" Target="media/image6.png" Type="http://schemas.openxmlformats.org/officeDocument/2006/relationships/image"/><Relationship Id="rId15" Target="embeddings/Microsoft_Excel_Worksheet5.xlsx" Type="http://schemas.openxmlformats.org/officeDocument/2006/relationships/package"/><Relationship Id="rId16" Target="media/image7.png" Type="http://schemas.openxmlformats.org/officeDocument/2006/relationships/image"/><Relationship Id="rId17" Target="https://pubs.acs.org/doi/10.1021/jacs.5b03551?utm_source=chatgpt.com" TargetMode="External" Type="http://schemas.openxmlformats.org/officeDocument/2006/relationships/hyperlink"/><Relationship Id="rId18" Target="https://en.wikipedia.org/wiki/Hydrogen_bond?utm_source=chatgpt.com" TargetMode="External" Type="http://schemas.openxmlformats.org/officeDocument/2006/relationships/hyperlink"/><Relationship Id="rId19" Target="embeddings/Microsoft_Excel_Worksheet6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embeddings/Microsoft_Excel_Worksheet1.xlsx" Type="http://schemas.openxmlformats.org/officeDocument/2006/relationships/package"/><Relationship Id="rId7" Target="media/image3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2025-06-25T05:53:28Z</dcterms:created>
  <dc:creator>Apache POI</dc:creator>
</cp:coreProperties>
</file>